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092" w:rsidRPr="00085092" w:rsidRDefault="00085092" w:rsidP="000850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40" w:after="40" w:line="240" w:lineRule="auto"/>
        <w:jc w:val="center"/>
        <w:outlineLvl w:val="1"/>
        <w:rPr>
          <w:rFonts w:ascii="Arial Bold" w:hAnsi="Arial Bold" w:cs="Arial Bold"/>
          <w:b/>
          <w:bCs/>
        </w:rPr>
      </w:pPr>
      <w:r w:rsidRPr="00085092">
        <w:rPr>
          <w:rFonts w:ascii="Arial Bold" w:hAnsi="Arial Bold" w:cs="Arial Bold"/>
          <w:b/>
          <w:bCs/>
        </w:rPr>
        <w:t>THE PURPOSE OF THIS GUIDE</w:t>
      </w:r>
    </w:p>
    <w:p w:rsidR="00085092" w:rsidRPr="00085092" w:rsidRDefault="00085092" w:rsidP="00085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40" w:line="240" w:lineRule="auto"/>
        <w:jc w:val="both"/>
        <w:rPr>
          <w:rFonts w:ascii="Arial" w:hAnsi="Arial" w:cs="Arial"/>
          <w:sz w:val="20"/>
          <w:szCs w:val="20"/>
        </w:rPr>
      </w:pPr>
      <w:r w:rsidRPr="00085092">
        <w:rPr>
          <w:rFonts w:ascii="Arial" w:hAnsi="Arial" w:cs="Arial"/>
          <w:sz w:val="20"/>
          <w:szCs w:val="20"/>
        </w:rPr>
        <w:t xml:space="preserve">This Financial Services Guide (FSG) is designed to assist you in deciding whether to use any of our services and contains important information about: </w:t>
      </w:r>
    </w:p>
    <w:p w:rsidR="00085092" w:rsidRPr="00085092" w:rsidRDefault="00085092" w:rsidP="0008509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0" w:line="240" w:lineRule="auto"/>
        <w:rPr>
          <w:rFonts w:ascii="Arial" w:hAnsi="Arial" w:cs="Arial"/>
          <w:sz w:val="20"/>
          <w:szCs w:val="20"/>
        </w:rPr>
      </w:pPr>
      <w:r w:rsidRPr="00085092">
        <w:rPr>
          <w:rFonts w:ascii="Arial" w:hAnsi="Arial" w:cs="Arial"/>
          <w:sz w:val="20"/>
          <w:szCs w:val="20"/>
        </w:rPr>
        <w:t>The services we offer you</w:t>
      </w:r>
    </w:p>
    <w:p w:rsidR="00085092" w:rsidRPr="00085092" w:rsidRDefault="00085092" w:rsidP="0008509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0" w:line="240" w:lineRule="auto"/>
        <w:rPr>
          <w:rFonts w:ascii="Arial" w:hAnsi="Arial" w:cs="Arial"/>
          <w:sz w:val="20"/>
          <w:szCs w:val="20"/>
        </w:rPr>
      </w:pPr>
      <w:r w:rsidRPr="00085092">
        <w:rPr>
          <w:rFonts w:ascii="Arial" w:hAnsi="Arial" w:cs="Arial"/>
          <w:sz w:val="20"/>
          <w:szCs w:val="20"/>
        </w:rPr>
        <w:t>How we and our associates are paid</w:t>
      </w:r>
    </w:p>
    <w:p w:rsidR="00085092" w:rsidRPr="00085092" w:rsidRDefault="00085092" w:rsidP="0008509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0" w:line="240" w:lineRule="auto"/>
        <w:rPr>
          <w:rFonts w:ascii="Arial" w:hAnsi="Arial" w:cs="Arial"/>
          <w:sz w:val="20"/>
          <w:szCs w:val="20"/>
        </w:rPr>
      </w:pPr>
      <w:r w:rsidRPr="00085092">
        <w:rPr>
          <w:rFonts w:ascii="Arial" w:hAnsi="Arial" w:cs="Arial"/>
          <w:sz w:val="20"/>
          <w:szCs w:val="20"/>
        </w:rPr>
        <w:t>Any potential conflicts of interest we may have</w:t>
      </w:r>
    </w:p>
    <w:p w:rsidR="00085092" w:rsidRPr="00085092" w:rsidRDefault="00085092" w:rsidP="0008509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0" w:line="240" w:lineRule="auto"/>
        <w:rPr>
          <w:rFonts w:ascii="Arial" w:hAnsi="Arial" w:cs="Arial"/>
          <w:sz w:val="20"/>
          <w:szCs w:val="20"/>
        </w:rPr>
      </w:pPr>
      <w:r w:rsidRPr="00085092">
        <w:rPr>
          <w:rFonts w:ascii="Arial" w:hAnsi="Arial" w:cs="Arial"/>
          <w:sz w:val="20"/>
          <w:szCs w:val="20"/>
        </w:rPr>
        <w:t>What to do in the event of a complaint</w:t>
      </w:r>
    </w:p>
    <w:p w:rsidR="00085092" w:rsidRPr="00085092" w:rsidRDefault="00085092" w:rsidP="000850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40" w:after="40" w:line="240" w:lineRule="auto"/>
        <w:jc w:val="center"/>
        <w:outlineLvl w:val="1"/>
        <w:rPr>
          <w:rFonts w:ascii="Arial Bold" w:hAnsi="Arial Bold" w:cs="Arial Bold"/>
          <w:b/>
          <w:bCs/>
        </w:rPr>
      </w:pPr>
      <w:r w:rsidRPr="00085092">
        <w:rPr>
          <w:rFonts w:ascii="Arial Bold" w:hAnsi="Arial Bold" w:cs="Arial Bold"/>
          <w:b/>
          <w:bCs/>
        </w:rPr>
        <w:t>RESPONSIBILITY FOR SERVICES PROVIDED</w:t>
      </w:r>
    </w:p>
    <w:p w:rsidR="00085092" w:rsidRPr="00085092" w:rsidRDefault="00085092" w:rsidP="00085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40" w:line="240" w:lineRule="auto"/>
        <w:jc w:val="both"/>
        <w:rPr>
          <w:rFonts w:ascii="Arial" w:hAnsi="Arial" w:cs="Arial"/>
          <w:sz w:val="20"/>
          <w:szCs w:val="20"/>
        </w:rPr>
      </w:pPr>
      <w:r w:rsidRPr="00085092">
        <w:rPr>
          <w:rFonts w:ascii="Arial" w:hAnsi="Arial" w:cs="Arial"/>
          <w:sz w:val="20"/>
          <w:szCs w:val="20"/>
        </w:rPr>
        <w:t>We hold an Australian Financial Services Licence and are authorised to advise and deal in the full spectrum of general insurance products.</w:t>
      </w:r>
    </w:p>
    <w:p w:rsidR="00085092" w:rsidRPr="00085092" w:rsidRDefault="00085092" w:rsidP="00085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40" w:line="240" w:lineRule="auto"/>
        <w:jc w:val="both"/>
        <w:rPr>
          <w:rFonts w:ascii="Arial" w:hAnsi="Arial" w:cs="Arial"/>
          <w:sz w:val="20"/>
          <w:szCs w:val="20"/>
        </w:rPr>
      </w:pPr>
      <w:r w:rsidRPr="00085092">
        <w:rPr>
          <w:rFonts w:ascii="Arial" w:hAnsi="Arial" w:cs="Arial"/>
          <w:sz w:val="20"/>
          <w:szCs w:val="20"/>
        </w:rPr>
        <w:t>We are responsible for the financial services provided to you, or through you to your family members, including the distribution of this FSG.</w:t>
      </w:r>
    </w:p>
    <w:p w:rsidR="00085092" w:rsidRPr="00085092" w:rsidRDefault="00085092" w:rsidP="00085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40" w:line="240" w:lineRule="auto"/>
        <w:jc w:val="both"/>
        <w:rPr>
          <w:rFonts w:ascii="Arial" w:hAnsi="Arial" w:cs="Arial"/>
          <w:sz w:val="20"/>
          <w:szCs w:val="20"/>
        </w:rPr>
      </w:pPr>
      <w:r w:rsidRPr="00085092">
        <w:rPr>
          <w:rFonts w:ascii="Arial" w:hAnsi="Arial" w:cs="Arial"/>
          <w:sz w:val="20"/>
          <w:szCs w:val="20"/>
        </w:rPr>
        <w:t>We are required to meet high standards for staff training, organisational competence, management expertise, financial control and compliance disciplines.</w:t>
      </w:r>
    </w:p>
    <w:p w:rsidR="00085092" w:rsidRPr="00085092" w:rsidRDefault="00085092" w:rsidP="000850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40" w:after="40" w:line="240" w:lineRule="auto"/>
        <w:jc w:val="center"/>
        <w:outlineLvl w:val="1"/>
        <w:rPr>
          <w:rFonts w:ascii="Arial Bold" w:hAnsi="Arial Bold" w:cs="Arial Bold"/>
          <w:b/>
          <w:bCs/>
        </w:rPr>
      </w:pPr>
      <w:r w:rsidRPr="00085092">
        <w:rPr>
          <w:rFonts w:ascii="Arial Bold" w:hAnsi="Arial Bold" w:cs="Arial Bold"/>
          <w:b/>
          <w:bCs/>
        </w:rPr>
        <w:t>WHO DO WE ACT FOR</w:t>
      </w:r>
    </w:p>
    <w:p w:rsidR="00085092" w:rsidRPr="00085092" w:rsidRDefault="00085092" w:rsidP="00085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40" w:line="240" w:lineRule="auto"/>
        <w:jc w:val="both"/>
        <w:rPr>
          <w:rFonts w:ascii="Arial" w:hAnsi="Arial" w:cs="Arial"/>
          <w:sz w:val="20"/>
          <w:szCs w:val="20"/>
        </w:rPr>
      </w:pPr>
      <w:r w:rsidRPr="00085092">
        <w:rPr>
          <w:rFonts w:ascii="Arial" w:hAnsi="Arial" w:cs="Arial"/>
          <w:sz w:val="20"/>
          <w:szCs w:val="20"/>
        </w:rPr>
        <w:t>We usually act on your behalf and in your interests in all matters.  Sometimes, it may be more appropriate for us to access insurance or manage claims where we act as an agent of the insurer.  If and when this situation arises we will explain and highlight this to you.</w:t>
      </w:r>
    </w:p>
    <w:p w:rsidR="00085092" w:rsidRPr="00085092" w:rsidRDefault="00085092" w:rsidP="000850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40" w:after="40" w:line="240" w:lineRule="auto"/>
        <w:jc w:val="center"/>
        <w:outlineLvl w:val="1"/>
        <w:rPr>
          <w:rFonts w:ascii="Arial Bold" w:hAnsi="Arial Bold" w:cs="Arial Bold"/>
          <w:b/>
          <w:bCs/>
        </w:rPr>
      </w:pPr>
      <w:r w:rsidRPr="00085092">
        <w:rPr>
          <w:rFonts w:ascii="Arial Bold" w:hAnsi="Arial Bold" w:cs="Arial Bold"/>
          <w:b/>
          <w:bCs/>
        </w:rPr>
        <w:t>OUR SERVICES</w:t>
      </w:r>
    </w:p>
    <w:p w:rsidR="00085092" w:rsidRPr="00085092" w:rsidRDefault="00085092" w:rsidP="00085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40" w:line="240" w:lineRule="auto"/>
        <w:jc w:val="both"/>
        <w:rPr>
          <w:rFonts w:ascii="Arial" w:hAnsi="Arial" w:cs="Arial"/>
          <w:sz w:val="20"/>
          <w:szCs w:val="20"/>
        </w:rPr>
      </w:pPr>
      <w:r w:rsidRPr="00085092">
        <w:rPr>
          <w:rFonts w:ascii="Arial" w:hAnsi="Arial" w:cs="Arial"/>
          <w:sz w:val="20"/>
          <w:szCs w:val="20"/>
        </w:rPr>
        <w:t>We offer a range of services to assist you to protect your assets and guard against unexpected liabilities including:</w:t>
      </w:r>
    </w:p>
    <w:p w:rsidR="00085092" w:rsidRPr="00085092" w:rsidRDefault="00085092" w:rsidP="0008509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0" w:line="240" w:lineRule="auto"/>
        <w:rPr>
          <w:rFonts w:ascii="Arial" w:hAnsi="Arial" w:cs="Arial"/>
          <w:sz w:val="20"/>
          <w:szCs w:val="20"/>
        </w:rPr>
      </w:pPr>
      <w:r w:rsidRPr="00085092">
        <w:rPr>
          <w:rFonts w:ascii="Arial" w:hAnsi="Arial" w:cs="Arial"/>
          <w:sz w:val="20"/>
          <w:szCs w:val="20"/>
        </w:rPr>
        <w:t>Reviewing and advising on your insurance needs</w:t>
      </w:r>
    </w:p>
    <w:p w:rsidR="00085092" w:rsidRPr="00085092" w:rsidRDefault="00085092" w:rsidP="0008509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0" w:line="240" w:lineRule="auto"/>
        <w:rPr>
          <w:rFonts w:ascii="Arial" w:hAnsi="Arial" w:cs="Arial"/>
          <w:sz w:val="20"/>
          <w:szCs w:val="20"/>
        </w:rPr>
      </w:pPr>
      <w:r w:rsidRPr="00085092">
        <w:rPr>
          <w:rFonts w:ascii="Arial" w:hAnsi="Arial" w:cs="Arial"/>
          <w:sz w:val="20"/>
          <w:szCs w:val="20"/>
        </w:rPr>
        <w:t>Identifying risk factors to avoid claims</w:t>
      </w:r>
    </w:p>
    <w:p w:rsidR="00085092" w:rsidRPr="00085092" w:rsidRDefault="00085092" w:rsidP="0008509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0" w:line="240" w:lineRule="auto"/>
        <w:rPr>
          <w:rFonts w:ascii="Arial" w:hAnsi="Arial" w:cs="Arial"/>
          <w:sz w:val="20"/>
          <w:szCs w:val="20"/>
        </w:rPr>
      </w:pPr>
      <w:r w:rsidRPr="00085092">
        <w:rPr>
          <w:rFonts w:ascii="Arial" w:hAnsi="Arial" w:cs="Arial"/>
          <w:sz w:val="20"/>
          <w:szCs w:val="20"/>
        </w:rPr>
        <w:t>Seeking competitive premium quotations</w:t>
      </w:r>
    </w:p>
    <w:p w:rsidR="00085092" w:rsidRPr="00085092" w:rsidRDefault="00085092" w:rsidP="000850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40" w:after="40" w:line="240" w:lineRule="auto"/>
        <w:jc w:val="center"/>
        <w:outlineLvl w:val="1"/>
        <w:rPr>
          <w:rFonts w:ascii="Arial Bold" w:hAnsi="Arial Bold" w:cs="Arial Bold"/>
          <w:b/>
          <w:bCs/>
        </w:rPr>
      </w:pPr>
      <w:r w:rsidRPr="00085092">
        <w:rPr>
          <w:rFonts w:ascii="Arial Bold" w:hAnsi="Arial Bold" w:cs="Arial Bold"/>
          <w:b/>
          <w:bCs/>
        </w:rPr>
        <w:t>HOW TO CONTACT US</w:t>
      </w:r>
    </w:p>
    <w:p w:rsidR="00085092" w:rsidRPr="00085092" w:rsidRDefault="00085092" w:rsidP="00085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40" w:line="240" w:lineRule="auto"/>
        <w:jc w:val="both"/>
        <w:rPr>
          <w:rFonts w:ascii="Arial" w:hAnsi="Arial" w:cs="Arial"/>
          <w:sz w:val="20"/>
          <w:szCs w:val="20"/>
        </w:rPr>
      </w:pPr>
      <w:r w:rsidRPr="00085092">
        <w:rPr>
          <w:rFonts w:ascii="Arial" w:hAnsi="Arial" w:cs="Arial"/>
          <w:sz w:val="20"/>
          <w:szCs w:val="20"/>
        </w:rPr>
        <w:t>You are able to contact us by phone, in writing, email or in person.</w:t>
      </w:r>
    </w:p>
    <w:p w:rsidR="00085092" w:rsidRPr="00085092" w:rsidRDefault="00085092" w:rsidP="000850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40" w:after="40" w:line="240" w:lineRule="auto"/>
        <w:jc w:val="center"/>
        <w:outlineLvl w:val="1"/>
        <w:rPr>
          <w:rFonts w:ascii="Arial Bold" w:hAnsi="Arial Bold" w:cs="Arial Bold"/>
          <w:b/>
          <w:bCs/>
        </w:rPr>
      </w:pPr>
      <w:r w:rsidRPr="00085092">
        <w:rPr>
          <w:rFonts w:ascii="Arial Bold" w:hAnsi="Arial Bold" w:cs="Arial Bold"/>
          <w:b/>
          <w:bCs/>
        </w:rPr>
        <w:t>OUR PRODUCTS</w:t>
      </w:r>
    </w:p>
    <w:p w:rsidR="00085092" w:rsidRPr="00085092" w:rsidRDefault="00085092" w:rsidP="00085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40" w:line="240" w:lineRule="auto"/>
        <w:jc w:val="both"/>
        <w:rPr>
          <w:rFonts w:ascii="Arial" w:hAnsi="Arial" w:cs="Arial"/>
          <w:sz w:val="20"/>
          <w:szCs w:val="20"/>
        </w:rPr>
      </w:pPr>
      <w:r w:rsidRPr="00085092">
        <w:rPr>
          <w:rFonts w:ascii="Arial" w:hAnsi="Arial" w:cs="Arial"/>
          <w:sz w:val="20"/>
          <w:szCs w:val="20"/>
        </w:rPr>
        <w:t>We can advise and arrange a broad range of insurances on your behalf including:</w:t>
      </w:r>
    </w:p>
    <w:p w:rsidR="00085092" w:rsidRPr="00085092" w:rsidRDefault="00085092" w:rsidP="00085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40" w:line="240" w:lineRule="auto"/>
        <w:jc w:val="both"/>
        <w:rPr>
          <w:rFonts w:ascii="Arial" w:hAnsi="Arial" w:cs="Arial"/>
          <w:sz w:val="20"/>
          <w:szCs w:val="20"/>
        </w:rPr>
      </w:pPr>
      <w:r w:rsidRPr="00085092">
        <w:rPr>
          <w:rFonts w:ascii="Arial" w:hAnsi="Arial" w:cs="Arial"/>
          <w:sz w:val="20"/>
          <w:szCs w:val="20"/>
        </w:rPr>
        <w:t>Home Building and Contents, Private and Commercial Motor, Farm, Business Packages, Construction, Liability, Industrial and Professional covers.</w:t>
      </w:r>
    </w:p>
    <w:p w:rsidR="00085092" w:rsidRPr="00085092" w:rsidRDefault="00085092" w:rsidP="000850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40" w:after="40" w:line="240" w:lineRule="auto"/>
        <w:jc w:val="center"/>
        <w:outlineLvl w:val="1"/>
        <w:rPr>
          <w:rFonts w:ascii="Arial Bold" w:hAnsi="Arial Bold" w:cs="Arial Bold"/>
          <w:b/>
          <w:bCs/>
        </w:rPr>
      </w:pPr>
      <w:r w:rsidRPr="00085092">
        <w:rPr>
          <w:rFonts w:ascii="Arial Bold" w:hAnsi="Arial Bold" w:cs="Arial Bold"/>
          <w:b/>
          <w:bCs/>
        </w:rPr>
        <w:t>RETAIL CLIENTS</w:t>
      </w:r>
    </w:p>
    <w:p w:rsidR="00085092" w:rsidRPr="00085092" w:rsidRDefault="00085092" w:rsidP="00085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40" w:line="240" w:lineRule="auto"/>
        <w:jc w:val="both"/>
        <w:rPr>
          <w:rFonts w:ascii="Arial" w:hAnsi="Arial" w:cs="Arial"/>
          <w:sz w:val="20"/>
          <w:szCs w:val="20"/>
        </w:rPr>
      </w:pPr>
      <w:r w:rsidRPr="00085092">
        <w:rPr>
          <w:rFonts w:ascii="Arial" w:hAnsi="Arial" w:cs="Arial"/>
          <w:sz w:val="20"/>
          <w:szCs w:val="20"/>
        </w:rPr>
        <w:t>Under the Corporations Act 2001 (The Act) Retail Clients are provided with additional protection from other clients. The Act defines Retail Clients as:</w:t>
      </w:r>
    </w:p>
    <w:p w:rsidR="00085092" w:rsidRPr="00085092" w:rsidRDefault="00085092" w:rsidP="00085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40" w:line="240" w:lineRule="auto"/>
        <w:jc w:val="both"/>
        <w:rPr>
          <w:rFonts w:ascii="Arial" w:hAnsi="Arial" w:cs="Arial"/>
          <w:sz w:val="20"/>
          <w:szCs w:val="20"/>
        </w:rPr>
      </w:pPr>
      <w:r w:rsidRPr="00085092">
        <w:rPr>
          <w:rFonts w:ascii="Arial" w:hAnsi="Arial" w:cs="Arial"/>
          <w:sz w:val="20"/>
          <w:szCs w:val="20"/>
        </w:rPr>
        <w:t xml:space="preserve">Individuals or a manufacturing business employing less than 100 people or any other business employing less than 20 people </w:t>
      </w:r>
      <w:r w:rsidRPr="00085092">
        <w:rPr>
          <w:rFonts w:ascii="Arial" w:hAnsi="Arial" w:cs="Arial"/>
          <w:sz w:val="20"/>
          <w:szCs w:val="20"/>
          <w:u w:val="single"/>
        </w:rPr>
        <w:t>And</w:t>
      </w:r>
      <w:r w:rsidRPr="00085092">
        <w:rPr>
          <w:rFonts w:ascii="Arial" w:hAnsi="Arial" w:cs="Arial"/>
          <w:sz w:val="20"/>
          <w:szCs w:val="20"/>
        </w:rPr>
        <w:t xml:space="preserve"> that are purchasing the following types of insurance covers:</w:t>
      </w:r>
    </w:p>
    <w:p w:rsidR="00085092" w:rsidRPr="00085092" w:rsidRDefault="00085092" w:rsidP="00085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40" w:line="240" w:lineRule="auto"/>
        <w:jc w:val="both"/>
        <w:rPr>
          <w:rFonts w:ascii="Arial" w:hAnsi="Arial" w:cs="Arial"/>
          <w:sz w:val="20"/>
          <w:szCs w:val="20"/>
        </w:rPr>
      </w:pPr>
      <w:r w:rsidRPr="00085092">
        <w:rPr>
          <w:rFonts w:ascii="Arial" w:hAnsi="Arial" w:cs="Arial"/>
          <w:sz w:val="20"/>
          <w:szCs w:val="20"/>
        </w:rPr>
        <w:t>Motor vehicle,  home building, contents, personal and domestic, sickness/accident/travel, consumer credit and other classes as prescribed by regulations.</w:t>
      </w:r>
    </w:p>
    <w:p w:rsidR="00085092" w:rsidRPr="00085092" w:rsidRDefault="00085092" w:rsidP="00085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40" w:line="240" w:lineRule="auto"/>
        <w:jc w:val="both"/>
        <w:rPr>
          <w:rFonts w:ascii="Arial" w:hAnsi="Arial" w:cs="Arial"/>
          <w:sz w:val="20"/>
          <w:szCs w:val="20"/>
        </w:rPr>
      </w:pPr>
      <w:r w:rsidRPr="00085092">
        <w:rPr>
          <w:rFonts w:ascii="Arial" w:hAnsi="Arial" w:cs="Arial"/>
          <w:sz w:val="20"/>
          <w:szCs w:val="20"/>
        </w:rPr>
        <w:t>Some of the information in this FSG only applies to Retail Clients and it is important that you understand if you are covered by the additional protection provided.</w:t>
      </w:r>
    </w:p>
    <w:p w:rsidR="00085092" w:rsidRPr="00085092" w:rsidRDefault="00085092" w:rsidP="000850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40" w:after="40" w:line="240" w:lineRule="auto"/>
        <w:jc w:val="center"/>
        <w:outlineLvl w:val="1"/>
        <w:rPr>
          <w:rFonts w:ascii="Arial Bold" w:hAnsi="Arial Bold" w:cs="Arial Bold"/>
          <w:b/>
          <w:bCs/>
        </w:rPr>
      </w:pPr>
      <w:r w:rsidRPr="00085092">
        <w:rPr>
          <w:rFonts w:ascii="Arial Bold" w:hAnsi="Arial Bold" w:cs="Arial Bold"/>
          <w:b/>
          <w:bCs/>
        </w:rPr>
        <w:t>RETAIL CLIENT ISSUES</w:t>
      </w:r>
    </w:p>
    <w:p w:rsidR="00085092" w:rsidRPr="00085092" w:rsidRDefault="00085092" w:rsidP="00085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40" w:line="240" w:lineRule="auto"/>
        <w:jc w:val="both"/>
        <w:rPr>
          <w:rFonts w:ascii="Arial" w:hAnsi="Arial" w:cs="Arial"/>
          <w:sz w:val="20"/>
          <w:szCs w:val="20"/>
        </w:rPr>
      </w:pPr>
      <w:r w:rsidRPr="00085092">
        <w:rPr>
          <w:rFonts w:ascii="Arial" w:hAnsi="Arial" w:cs="Arial"/>
          <w:sz w:val="20"/>
          <w:szCs w:val="20"/>
        </w:rPr>
        <w:t>Typically we only provide General Advice to our Retail Clients.  General Advice does not take into account your particular needs and requirements and you should consider the appropriateness of this advice to your circumstances prior to acting upon it.  We will provide you with a General Advice Warning in such cases.</w:t>
      </w:r>
    </w:p>
    <w:p w:rsidR="00085092" w:rsidRPr="00085092" w:rsidRDefault="00085092" w:rsidP="00085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40" w:line="240" w:lineRule="auto"/>
        <w:jc w:val="both"/>
        <w:rPr>
          <w:rFonts w:ascii="Arial" w:hAnsi="Arial" w:cs="Arial"/>
          <w:sz w:val="20"/>
          <w:szCs w:val="20"/>
        </w:rPr>
      </w:pPr>
      <w:r w:rsidRPr="00085092">
        <w:rPr>
          <w:rFonts w:ascii="Arial" w:hAnsi="Arial" w:cs="Arial"/>
          <w:sz w:val="20"/>
          <w:szCs w:val="20"/>
        </w:rPr>
        <w:t xml:space="preserve">If you are a new Retail Client purchasing Personal Accident or Sickness insurance and obtain Personal Advice, that is, advice that takes into account your particular circumstances, we will give you a </w:t>
      </w:r>
      <w:r w:rsidRPr="00085092">
        <w:rPr>
          <w:rFonts w:ascii="Arial" w:hAnsi="Arial" w:cs="Arial"/>
          <w:b/>
          <w:bCs/>
          <w:sz w:val="20"/>
          <w:szCs w:val="20"/>
        </w:rPr>
        <w:t>Statement of Advice (SOA)</w:t>
      </w:r>
      <w:r w:rsidRPr="00085092">
        <w:rPr>
          <w:rFonts w:ascii="Arial" w:hAnsi="Arial" w:cs="Arial"/>
          <w:sz w:val="20"/>
          <w:szCs w:val="20"/>
        </w:rPr>
        <w:t>, that sets out the advice provided and the basis on which the advice is made and our remuneration should you purchase the product.</w:t>
      </w:r>
    </w:p>
    <w:p w:rsidR="00085092" w:rsidRPr="00085092" w:rsidRDefault="00085092" w:rsidP="00085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40" w:line="240" w:lineRule="auto"/>
        <w:jc w:val="both"/>
        <w:rPr>
          <w:rFonts w:ascii="Arial" w:hAnsi="Arial" w:cs="Arial"/>
          <w:sz w:val="20"/>
          <w:szCs w:val="20"/>
        </w:rPr>
      </w:pPr>
      <w:r w:rsidRPr="00085092">
        <w:rPr>
          <w:rFonts w:ascii="Arial" w:hAnsi="Arial" w:cs="Arial"/>
          <w:sz w:val="20"/>
          <w:szCs w:val="20"/>
        </w:rPr>
        <w:t>For existing Retail Clients we may not provide an SOA but rather provide the advice to you orally.  In such cases you may request us to provide you with a Record of Advice (via phone or in writing) which we will provide to you within 28 days of such request.</w:t>
      </w:r>
    </w:p>
    <w:p w:rsidR="00085092" w:rsidRPr="00085092" w:rsidRDefault="00085092" w:rsidP="00085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40" w:line="240" w:lineRule="auto"/>
        <w:jc w:val="both"/>
        <w:rPr>
          <w:rFonts w:ascii="Arial" w:hAnsi="Arial" w:cs="Arial"/>
          <w:sz w:val="20"/>
          <w:szCs w:val="20"/>
        </w:rPr>
      </w:pPr>
      <w:r w:rsidRPr="00085092">
        <w:rPr>
          <w:rFonts w:ascii="Arial" w:hAnsi="Arial" w:cs="Arial"/>
          <w:sz w:val="20"/>
          <w:szCs w:val="20"/>
        </w:rPr>
        <w:t>When you ask us to recommend an insurance policy for you, we will usually only consider the policies offered by the insurance providers that we deal with regularly.  In giving you advice about the costs and terms of recommended polices we have not compared those policies to other policies available, other than from those insurance providers we deal with regularly.</w:t>
      </w:r>
    </w:p>
    <w:p w:rsidR="00085092" w:rsidRPr="00085092" w:rsidRDefault="00085092" w:rsidP="00085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40" w:line="240" w:lineRule="auto"/>
        <w:jc w:val="both"/>
        <w:rPr>
          <w:rFonts w:ascii="Arial" w:hAnsi="Arial" w:cs="Arial"/>
          <w:sz w:val="20"/>
          <w:szCs w:val="20"/>
        </w:rPr>
      </w:pPr>
      <w:r w:rsidRPr="00085092">
        <w:rPr>
          <w:rFonts w:ascii="Arial" w:hAnsi="Arial" w:cs="Arial"/>
          <w:sz w:val="20"/>
          <w:szCs w:val="20"/>
        </w:rPr>
        <w:t xml:space="preserve">If we recommend the purchase of a particular financial product, we will also give you a </w:t>
      </w:r>
      <w:r w:rsidRPr="00085092">
        <w:rPr>
          <w:rFonts w:ascii="Arial" w:hAnsi="Arial" w:cs="Arial"/>
          <w:b/>
          <w:bCs/>
          <w:sz w:val="20"/>
          <w:szCs w:val="20"/>
        </w:rPr>
        <w:t>Product Disclosure Statement</w:t>
      </w:r>
      <w:r w:rsidRPr="00085092">
        <w:rPr>
          <w:rFonts w:ascii="Arial" w:hAnsi="Arial" w:cs="Arial"/>
          <w:sz w:val="20"/>
          <w:szCs w:val="20"/>
        </w:rPr>
        <w:t xml:space="preserve"> at that time, which sets out details specific to that product and the key benefits and risks in purchasing the product.</w:t>
      </w:r>
    </w:p>
    <w:p w:rsidR="00085092" w:rsidRPr="00085092" w:rsidRDefault="00085092" w:rsidP="000850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40" w:after="40" w:line="240" w:lineRule="auto"/>
        <w:jc w:val="center"/>
        <w:outlineLvl w:val="1"/>
        <w:rPr>
          <w:rFonts w:ascii="Arial Bold" w:hAnsi="Arial Bold" w:cs="Arial Bold"/>
          <w:b/>
          <w:bCs/>
        </w:rPr>
      </w:pPr>
      <w:r w:rsidRPr="00085092">
        <w:rPr>
          <w:rFonts w:ascii="Arial Bold" w:hAnsi="Arial Bold" w:cs="Arial Bold"/>
          <w:b/>
          <w:bCs/>
        </w:rPr>
        <w:lastRenderedPageBreak/>
        <w:t>PERSONAL INFORMATION</w:t>
      </w:r>
    </w:p>
    <w:p w:rsidR="00085092" w:rsidRPr="00085092" w:rsidRDefault="00085092" w:rsidP="00085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40" w:line="240" w:lineRule="auto"/>
        <w:jc w:val="both"/>
        <w:rPr>
          <w:rFonts w:ascii="Arial" w:hAnsi="Arial" w:cs="Arial"/>
          <w:sz w:val="20"/>
          <w:szCs w:val="20"/>
        </w:rPr>
      </w:pPr>
      <w:r w:rsidRPr="00085092">
        <w:rPr>
          <w:rFonts w:ascii="Arial" w:hAnsi="Arial" w:cs="Arial"/>
          <w:sz w:val="20"/>
          <w:szCs w:val="20"/>
        </w:rPr>
        <w:t>The Privacy Act 1988 sets out standards for the collection and management of personal information. With your consent, we will only use your personal information for general insurance services.  Our Privacy Policy Statement is available on our website.</w:t>
      </w:r>
    </w:p>
    <w:p w:rsidR="00085092" w:rsidRPr="00085092" w:rsidRDefault="00085092" w:rsidP="000850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40" w:after="40" w:line="240" w:lineRule="auto"/>
        <w:jc w:val="center"/>
        <w:outlineLvl w:val="1"/>
        <w:rPr>
          <w:rFonts w:ascii="Arial Bold" w:hAnsi="Arial Bold" w:cs="Arial Bold"/>
          <w:b/>
          <w:bCs/>
        </w:rPr>
      </w:pPr>
      <w:r w:rsidRPr="00085092">
        <w:rPr>
          <w:rFonts w:ascii="Arial Bold" w:hAnsi="Arial Bold" w:cs="Arial Bold"/>
          <w:b/>
          <w:bCs/>
        </w:rPr>
        <w:t xml:space="preserve">COMPLAINTS </w:t>
      </w:r>
    </w:p>
    <w:p w:rsidR="00085092" w:rsidRPr="00085092" w:rsidRDefault="00085092" w:rsidP="00085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40" w:line="240" w:lineRule="auto"/>
        <w:jc w:val="both"/>
        <w:rPr>
          <w:rFonts w:ascii="Arial" w:hAnsi="Arial" w:cs="Arial"/>
          <w:sz w:val="20"/>
          <w:szCs w:val="20"/>
        </w:rPr>
      </w:pPr>
      <w:r w:rsidRPr="00085092">
        <w:rPr>
          <w:rFonts w:ascii="Arial" w:hAnsi="Arial" w:cs="Arial"/>
          <w:sz w:val="20"/>
          <w:szCs w:val="20"/>
        </w:rPr>
        <w:t xml:space="preserve">Clients not satisfied with our services should contact our Complaints Officer. We are members of the Australian Financial Complaints Authority (AFCA), a free consumer service. Further information is available from our office, or contact AFCA directly on 1800 931 678 or visit www.afca.org.au.  We also follow The Insurance Brokers Code of Practice. </w:t>
      </w:r>
    </w:p>
    <w:p w:rsidR="00085092" w:rsidRPr="00085092" w:rsidRDefault="00085092" w:rsidP="000850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40" w:after="40" w:line="240" w:lineRule="auto"/>
        <w:jc w:val="center"/>
        <w:outlineLvl w:val="1"/>
        <w:rPr>
          <w:rFonts w:ascii="Arial Bold" w:hAnsi="Arial Bold" w:cs="Arial Bold"/>
          <w:b/>
          <w:bCs/>
        </w:rPr>
      </w:pPr>
      <w:r w:rsidRPr="00085092">
        <w:rPr>
          <w:rFonts w:ascii="Arial Bold" w:hAnsi="Arial Bold" w:cs="Arial Bold"/>
          <w:b/>
          <w:bCs/>
        </w:rPr>
        <w:t>COMPENSATION</w:t>
      </w:r>
    </w:p>
    <w:p w:rsidR="00085092" w:rsidRPr="00085092" w:rsidRDefault="00085092" w:rsidP="00085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40" w:line="240" w:lineRule="auto"/>
        <w:jc w:val="both"/>
        <w:rPr>
          <w:rFonts w:ascii="Arial" w:hAnsi="Arial" w:cs="Arial"/>
          <w:sz w:val="20"/>
          <w:szCs w:val="20"/>
        </w:rPr>
      </w:pPr>
      <w:r w:rsidRPr="00085092">
        <w:rPr>
          <w:rFonts w:ascii="Arial" w:hAnsi="Arial" w:cs="Arial"/>
          <w:sz w:val="20"/>
          <w:szCs w:val="20"/>
        </w:rPr>
        <w:t>We hold a Professional Indemnity Policy.  This policy is designed to pay claims by Third Parties (including our clients) arising out of our Professional Negligence.  The policy extends to covers us for work done for us by representatives/employees after they cease to work for us and satisfies the requirements for compensation arrangements under Section 912B of The Act.</w:t>
      </w:r>
    </w:p>
    <w:p w:rsidR="00085092" w:rsidRPr="00085092" w:rsidRDefault="00085092" w:rsidP="000850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40" w:after="40" w:line="240" w:lineRule="auto"/>
        <w:jc w:val="center"/>
        <w:outlineLvl w:val="1"/>
        <w:rPr>
          <w:rFonts w:ascii="Arial Bold" w:hAnsi="Arial Bold" w:cs="Arial Bold"/>
          <w:b/>
          <w:bCs/>
        </w:rPr>
      </w:pPr>
      <w:r w:rsidRPr="00085092">
        <w:rPr>
          <w:rFonts w:ascii="Arial Bold" w:hAnsi="Arial Bold" w:cs="Arial Bold"/>
          <w:b/>
          <w:bCs/>
        </w:rPr>
        <w:t>CONTACT AGREEMENT</w:t>
      </w:r>
    </w:p>
    <w:p w:rsidR="00085092" w:rsidRPr="00085092" w:rsidRDefault="00085092" w:rsidP="00085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40" w:line="240" w:lineRule="auto"/>
        <w:jc w:val="both"/>
        <w:rPr>
          <w:rFonts w:ascii="Arial" w:hAnsi="Arial" w:cs="Arial"/>
          <w:sz w:val="20"/>
          <w:szCs w:val="20"/>
        </w:rPr>
      </w:pPr>
      <w:r w:rsidRPr="00085092">
        <w:rPr>
          <w:rFonts w:ascii="Arial" w:hAnsi="Arial" w:cs="Arial"/>
          <w:sz w:val="20"/>
          <w:szCs w:val="20"/>
        </w:rPr>
        <w:t>To ensure that we provide you with appropriate products and services, you agree to us calling you to discuss any new products and services.  If you do not wish to receive such calls please advise us and we will place you on our Do Not Call Register.</w:t>
      </w:r>
    </w:p>
    <w:p w:rsidR="00085092" w:rsidRPr="00085092" w:rsidRDefault="00085092" w:rsidP="000850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40" w:after="40" w:line="240" w:lineRule="auto"/>
        <w:jc w:val="center"/>
        <w:outlineLvl w:val="1"/>
        <w:rPr>
          <w:rFonts w:ascii="Arial Bold" w:hAnsi="Arial Bold" w:cs="Arial Bold"/>
          <w:b/>
          <w:bCs/>
        </w:rPr>
      </w:pPr>
      <w:r w:rsidRPr="00085092">
        <w:rPr>
          <w:rFonts w:ascii="Arial Bold" w:hAnsi="Arial Bold" w:cs="Arial Bold"/>
          <w:b/>
          <w:bCs/>
        </w:rPr>
        <w:t>ELECTRONIC DELIVERY OF DISCLOSURE NOTICES</w:t>
      </w:r>
    </w:p>
    <w:p w:rsidR="00085092" w:rsidRPr="00085092" w:rsidRDefault="00085092" w:rsidP="00085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40" w:line="240" w:lineRule="auto"/>
        <w:jc w:val="both"/>
        <w:rPr>
          <w:rFonts w:ascii="Arial" w:hAnsi="Arial" w:cs="Arial"/>
          <w:sz w:val="20"/>
          <w:szCs w:val="20"/>
        </w:rPr>
      </w:pPr>
      <w:r w:rsidRPr="00085092">
        <w:rPr>
          <w:rFonts w:ascii="Arial" w:hAnsi="Arial" w:cs="Arial"/>
          <w:sz w:val="20"/>
          <w:szCs w:val="20"/>
        </w:rPr>
        <w:t>Please note that where possible we prefer to provide all correspondence and disclosure notices (including Financial Services Guides and Product Disclosure Statements) to you electronically, via email attachments or email links to documents/websites etc.  If you have provided your email address to Us we will typically use that email address for all correspondence and disclosure notices.  Should you not wish to be sent disclosure documents electronically please advise us and we will update our records accordingly.</w:t>
      </w:r>
    </w:p>
    <w:p w:rsidR="00085092" w:rsidRPr="00085092" w:rsidRDefault="00085092" w:rsidP="000850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40" w:after="40" w:line="240" w:lineRule="auto"/>
        <w:jc w:val="center"/>
        <w:outlineLvl w:val="1"/>
        <w:rPr>
          <w:rFonts w:ascii="Arial Bold" w:hAnsi="Arial Bold" w:cs="Arial Bold"/>
          <w:b/>
          <w:bCs/>
        </w:rPr>
      </w:pPr>
      <w:r w:rsidRPr="00085092">
        <w:rPr>
          <w:rFonts w:ascii="Arial Bold" w:hAnsi="Arial Bold" w:cs="Arial Bold"/>
          <w:b/>
          <w:bCs/>
        </w:rPr>
        <w:t>OUR SOURCES OF INCOME</w:t>
      </w:r>
    </w:p>
    <w:p w:rsidR="00085092" w:rsidRPr="00085092" w:rsidRDefault="00085092" w:rsidP="00085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40" w:line="240" w:lineRule="auto"/>
        <w:jc w:val="both"/>
        <w:rPr>
          <w:rFonts w:ascii="Arial" w:hAnsi="Arial" w:cs="Arial"/>
          <w:sz w:val="20"/>
          <w:szCs w:val="20"/>
        </w:rPr>
      </w:pPr>
      <w:r w:rsidRPr="00085092">
        <w:rPr>
          <w:rFonts w:ascii="Arial" w:hAnsi="Arial" w:cs="Arial"/>
          <w:sz w:val="20"/>
          <w:szCs w:val="20"/>
        </w:rPr>
        <w:t>When placing your insurance we usually receive a commission from the insurer.  The amount varies between 0% and 27.5% of the base premium you pay.  Where a policy is cancelled before the period of insurance has ended we will usually retain the commission on any return premium involved.</w:t>
      </w:r>
    </w:p>
    <w:p w:rsidR="00085092" w:rsidRPr="00085092" w:rsidRDefault="00085092" w:rsidP="00085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40" w:line="240" w:lineRule="auto"/>
        <w:jc w:val="both"/>
        <w:rPr>
          <w:rFonts w:ascii="Arial" w:hAnsi="Arial" w:cs="Arial"/>
          <w:sz w:val="20"/>
          <w:szCs w:val="20"/>
        </w:rPr>
      </w:pPr>
      <w:r w:rsidRPr="00085092">
        <w:rPr>
          <w:rFonts w:ascii="Arial" w:hAnsi="Arial" w:cs="Arial"/>
          <w:sz w:val="20"/>
          <w:szCs w:val="20"/>
        </w:rPr>
        <w:t>If you are a Retail Client and we give you Personal Advice, commission amounts will be provided in any SOA or (where an SOA is not required to be provided) included on any relevant invoices.  When we give you General Advice, full commission information (including dollar amounts) will be provided on request.</w:t>
      </w:r>
    </w:p>
    <w:p w:rsidR="00085092" w:rsidRPr="00085092" w:rsidRDefault="00085092" w:rsidP="00085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40" w:line="240" w:lineRule="auto"/>
        <w:jc w:val="both"/>
        <w:rPr>
          <w:rFonts w:ascii="Arial" w:hAnsi="Arial" w:cs="Arial"/>
          <w:sz w:val="20"/>
          <w:szCs w:val="20"/>
        </w:rPr>
      </w:pPr>
      <w:r w:rsidRPr="00085092">
        <w:rPr>
          <w:rFonts w:ascii="Arial" w:hAnsi="Arial" w:cs="Arial"/>
          <w:sz w:val="20"/>
          <w:szCs w:val="20"/>
        </w:rPr>
        <w:t>We have a set of standard non refundable Broker Fees that we charge you for services such as:</w:t>
      </w:r>
    </w:p>
    <w:p w:rsidR="00085092" w:rsidRPr="00085092" w:rsidRDefault="00085092" w:rsidP="0008509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0" w:line="240" w:lineRule="auto"/>
        <w:rPr>
          <w:rFonts w:ascii="Arial" w:hAnsi="Arial" w:cs="Arial"/>
          <w:sz w:val="20"/>
          <w:szCs w:val="20"/>
        </w:rPr>
      </w:pPr>
      <w:r w:rsidRPr="00085092">
        <w:rPr>
          <w:rFonts w:ascii="Arial" w:hAnsi="Arial" w:cs="Arial"/>
          <w:sz w:val="20"/>
          <w:szCs w:val="20"/>
        </w:rPr>
        <w:t>Market research on products available.</w:t>
      </w:r>
    </w:p>
    <w:p w:rsidR="00085092" w:rsidRPr="00085092" w:rsidRDefault="00085092" w:rsidP="0008509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0" w:line="240" w:lineRule="auto"/>
        <w:rPr>
          <w:rFonts w:ascii="Arial" w:hAnsi="Arial" w:cs="Arial"/>
          <w:sz w:val="20"/>
          <w:szCs w:val="20"/>
        </w:rPr>
      </w:pPr>
      <w:r w:rsidRPr="00085092">
        <w:rPr>
          <w:rFonts w:ascii="Arial" w:hAnsi="Arial" w:cs="Arial"/>
          <w:sz w:val="20"/>
          <w:szCs w:val="20"/>
        </w:rPr>
        <w:t>Assessing the claims service of insurers.</w:t>
      </w:r>
    </w:p>
    <w:p w:rsidR="00085092" w:rsidRPr="00085092" w:rsidRDefault="00085092" w:rsidP="0008509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0" w:line="240" w:lineRule="auto"/>
        <w:rPr>
          <w:rFonts w:ascii="Arial" w:hAnsi="Arial" w:cs="Arial"/>
          <w:sz w:val="20"/>
          <w:szCs w:val="20"/>
        </w:rPr>
      </w:pPr>
      <w:r w:rsidRPr="00085092">
        <w:rPr>
          <w:rFonts w:ascii="Arial" w:hAnsi="Arial" w:cs="Arial"/>
          <w:sz w:val="20"/>
          <w:szCs w:val="20"/>
        </w:rPr>
        <w:t>Sourcing alternative quotations and coverage.</w:t>
      </w:r>
    </w:p>
    <w:p w:rsidR="00085092" w:rsidRPr="00085092" w:rsidRDefault="00085092" w:rsidP="0008509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0" w:line="240" w:lineRule="auto"/>
        <w:rPr>
          <w:rFonts w:ascii="Arial" w:hAnsi="Arial" w:cs="Arial"/>
          <w:sz w:val="20"/>
          <w:szCs w:val="20"/>
        </w:rPr>
      </w:pPr>
      <w:r w:rsidRPr="00085092">
        <w:rPr>
          <w:rFonts w:ascii="Arial" w:hAnsi="Arial" w:cs="Arial"/>
          <w:sz w:val="20"/>
          <w:szCs w:val="20"/>
        </w:rPr>
        <w:t>Risk analysis and portfolio co-ordination.</w:t>
      </w:r>
    </w:p>
    <w:p w:rsidR="00085092" w:rsidRPr="00085092" w:rsidRDefault="00085092" w:rsidP="00085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40" w:line="240" w:lineRule="auto"/>
        <w:jc w:val="both"/>
        <w:rPr>
          <w:rFonts w:ascii="Arial" w:hAnsi="Arial" w:cs="Arial"/>
          <w:sz w:val="20"/>
          <w:szCs w:val="20"/>
        </w:rPr>
      </w:pPr>
      <w:r w:rsidRPr="00085092">
        <w:rPr>
          <w:rFonts w:ascii="Arial" w:hAnsi="Arial" w:cs="Arial"/>
          <w:sz w:val="20"/>
          <w:szCs w:val="20"/>
        </w:rPr>
        <w:t>All fees payable for our services will be advised to you at the time of providing the advice or service.</w:t>
      </w:r>
    </w:p>
    <w:p w:rsidR="00085092" w:rsidRPr="00085092" w:rsidRDefault="00085092" w:rsidP="00085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40" w:line="240" w:lineRule="auto"/>
        <w:jc w:val="both"/>
        <w:rPr>
          <w:rFonts w:ascii="Arial" w:hAnsi="Arial" w:cs="Arial"/>
          <w:sz w:val="20"/>
          <w:szCs w:val="20"/>
        </w:rPr>
      </w:pPr>
      <w:r w:rsidRPr="00085092">
        <w:rPr>
          <w:rFonts w:ascii="Arial" w:hAnsi="Arial" w:cs="Arial"/>
          <w:sz w:val="20"/>
          <w:szCs w:val="20"/>
        </w:rPr>
        <w:t>We may receive additional remuneration from insurers with whom we have profit share or volume bonus arrangements.  This remuneration is payable if we meet certain agreed sales and/or profitability targets set by the insurer.  If we have profit share arrangements with an insurer that apply to a product we recommend to you, we will advise you of this at the time of making any such recommendation if the amount involved is material.</w:t>
      </w:r>
    </w:p>
    <w:p w:rsidR="00085092" w:rsidRPr="00085092" w:rsidRDefault="00085092" w:rsidP="00085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40" w:line="240" w:lineRule="auto"/>
        <w:jc w:val="both"/>
        <w:rPr>
          <w:rFonts w:ascii="Arial" w:hAnsi="Arial" w:cs="Arial"/>
          <w:sz w:val="20"/>
          <w:szCs w:val="20"/>
        </w:rPr>
      </w:pPr>
      <w:r w:rsidRPr="00085092">
        <w:rPr>
          <w:rFonts w:ascii="Arial" w:hAnsi="Arial" w:cs="Arial"/>
          <w:sz w:val="20"/>
          <w:szCs w:val="20"/>
        </w:rPr>
        <w:t>We retain the interest on premiums paid by you that are held in our trust account before paying the insurer.</w:t>
      </w:r>
    </w:p>
    <w:p w:rsidR="00085092" w:rsidRPr="00085092" w:rsidRDefault="00085092" w:rsidP="00085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40" w:line="240" w:lineRule="auto"/>
        <w:jc w:val="both"/>
        <w:rPr>
          <w:rFonts w:ascii="Arial" w:hAnsi="Arial" w:cs="Arial"/>
          <w:sz w:val="20"/>
          <w:szCs w:val="20"/>
        </w:rPr>
      </w:pPr>
      <w:r w:rsidRPr="00085092">
        <w:rPr>
          <w:rFonts w:ascii="Arial" w:hAnsi="Arial" w:cs="Arial"/>
          <w:sz w:val="20"/>
          <w:szCs w:val="20"/>
        </w:rPr>
        <w:t>If you pay by credit card we may charge you a credit card (incl. arrangement &amp; handling) fee, which is disclosed and shown separately on our invoices, they are non refundable. This fee covers the cost of bank charges etc. associated with such facilities.</w:t>
      </w:r>
    </w:p>
    <w:p w:rsidR="00085092" w:rsidRPr="00085092" w:rsidRDefault="00085092" w:rsidP="00085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40" w:line="240" w:lineRule="auto"/>
        <w:jc w:val="both"/>
        <w:rPr>
          <w:rFonts w:ascii="Arial" w:hAnsi="Arial" w:cs="Arial"/>
          <w:sz w:val="20"/>
          <w:szCs w:val="20"/>
        </w:rPr>
      </w:pPr>
      <w:r w:rsidRPr="00085092">
        <w:rPr>
          <w:rFonts w:ascii="Arial" w:hAnsi="Arial" w:cs="Arial"/>
          <w:sz w:val="20"/>
          <w:szCs w:val="20"/>
        </w:rPr>
        <w:t>Premium funding products enable you to pay your premiums by installments. Premium funders do charge interest.  We can arrange premium funding if you require it. We may receive a commission based on a percentage of the premium from the premium funder for doing so. We will tell you the basis and amount of any such payment if you ask us.</w:t>
      </w:r>
    </w:p>
    <w:p w:rsidR="00085092" w:rsidRPr="00085092" w:rsidRDefault="00085092" w:rsidP="000850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40" w:after="40" w:line="240" w:lineRule="auto"/>
        <w:jc w:val="center"/>
        <w:outlineLvl w:val="1"/>
        <w:rPr>
          <w:rFonts w:ascii="Arial Bold" w:hAnsi="Arial Bold" w:cs="Arial Bold"/>
          <w:b/>
          <w:bCs/>
        </w:rPr>
      </w:pPr>
      <w:r w:rsidRPr="00085092">
        <w:rPr>
          <w:rFonts w:ascii="Arial Bold" w:hAnsi="Arial Bold" w:cs="Arial Bold"/>
          <w:b/>
          <w:bCs/>
        </w:rPr>
        <w:t>STEADFAST MEMBERSHIP</w:t>
      </w:r>
    </w:p>
    <w:p w:rsidR="00085092" w:rsidRPr="00085092" w:rsidRDefault="00085092" w:rsidP="00085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40" w:line="240" w:lineRule="auto"/>
        <w:jc w:val="both"/>
        <w:rPr>
          <w:rFonts w:ascii="Arial" w:hAnsi="Arial" w:cs="Arial"/>
          <w:sz w:val="20"/>
          <w:szCs w:val="20"/>
        </w:rPr>
      </w:pPr>
      <w:r w:rsidRPr="00085092">
        <w:rPr>
          <w:rFonts w:ascii="Arial" w:hAnsi="Arial" w:cs="Arial"/>
          <w:sz w:val="20"/>
          <w:szCs w:val="20"/>
        </w:rPr>
        <w:t>We are a Steadfast Group Limited (</w:t>
      </w:r>
      <w:r w:rsidRPr="00085092">
        <w:rPr>
          <w:rFonts w:ascii="Arial" w:hAnsi="Arial" w:cs="Arial"/>
          <w:b/>
          <w:bCs/>
          <w:sz w:val="20"/>
          <w:szCs w:val="20"/>
        </w:rPr>
        <w:t>Steadfast</w:t>
      </w:r>
      <w:r w:rsidRPr="00085092">
        <w:rPr>
          <w:rFonts w:ascii="Arial" w:hAnsi="Arial" w:cs="Arial"/>
          <w:sz w:val="20"/>
          <w:szCs w:val="20"/>
        </w:rPr>
        <w:t xml:space="preserve">) Network Broker. </w:t>
      </w:r>
      <w:r w:rsidRPr="00085092">
        <w:rPr>
          <w:rFonts w:ascii="Arial" w:hAnsi="Arial" w:cs="Arial"/>
          <w:b/>
          <w:bCs/>
          <w:sz w:val="20"/>
          <w:szCs w:val="20"/>
        </w:rPr>
        <w:t>Steadfast</w:t>
      </w:r>
      <w:r w:rsidRPr="00085092">
        <w:rPr>
          <w:rFonts w:ascii="Arial" w:hAnsi="Arial" w:cs="Arial"/>
          <w:sz w:val="20"/>
          <w:szCs w:val="20"/>
        </w:rPr>
        <w:t xml:space="preserve"> has exclusive arrangements with some insurers and premium funders (</w:t>
      </w:r>
      <w:r w:rsidRPr="00085092">
        <w:rPr>
          <w:rFonts w:ascii="Arial" w:hAnsi="Arial" w:cs="Arial"/>
          <w:b/>
          <w:bCs/>
          <w:sz w:val="20"/>
          <w:szCs w:val="20"/>
        </w:rPr>
        <w:t>Partners</w:t>
      </w:r>
      <w:r w:rsidRPr="00085092">
        <w:rPr>
          <w:rFonts w:ascii="Arial" w:hAnsi="Arial" w:cs="Arial"/>
          <w:sz w:val="20"/>
          <w:szCs w:val="20"/>
        </w:rPr>
        <w:t xml:space="preserve">) under which </w:t>
      </w:r>
      <w:r w:rsidRPr="00085092">
        <w:rPr>
          <w:rFonts w:ascii="Arial" w:hAnsi="Arial" w:cs="Arial"/>
          <w:b/>
          <w:bCs/>
          <w:sz w:val="20"/>
          <w:szCs w:val="20"/>
        </w:rPr>
        <w:t>Steadfast</w:t>
      </w:r>
      <w:r w:rsidRPr="00085092">
        <w:rPr>
          <w:rFonts w:ascii="Arial" w:hAnsi="Arial" w:cs="Arial"/>
          <w:sz w:val="20"/>
          <w:szCs w:val="20"/>
        </w:rPr>
        <w:t xml:space="preserve"> will receive between 0.5 – 1.5% commission for each product arranged by us with those </w:t>
      </w:r>
      <w:r w:rsidRPr="00085092">
        <w:rPr>
          <w:rFonts w:ascii="Arial" w:hAnsi="Arial" w:cs="Arial"/>
          <w:b/>
          <w:bCs/>
          <w:sz w:val="20"/>
          <w:szCs w:val="20"/>
        </w:rPr>
        <w:t>Partners</w:t>
      </w:r>
      <w:r w:rsidRPr="00085092">
        <w:rPr>
          <w:rFonts w:ascii="Arial" w:hAnsi="Arial" w:cs="Arial"/>
          <w:sz w:val="20"/>
          <w:szCs w:val="20"/>
        </w:rPr>
        <w:t xml:space="preserve">. </w:t>
      </w:r>
      <w:r w:rsidRPr="00085092">
        <w:rPr>
          <w:rFonts w:ascii="Arial" w:hAnsi="Arial" w:cs="Arial"/>
          <w:b/>
          <w:bCs/>
          <w:sz w:val="20"/>
          <w:szCs w:val="20"/>
        </w:rPr>
        <w:t>Steadfast</w:t>
      </w:r>
      <w:r w:rsidRPr="00085092">
        <w:rPr>
          <w:rFonts w:ascii="Arial" w:hAnsi="Arial" w:cs="Arial"/>
          <w:sz w:val="20"/>
          <w:szCs w:val="20"/>
        </w:rPr>
        <w:t xml:space="preserve"> is also a shareholder of some </w:t>
      </w:r>
      <w:r w:rsidRPr="00085092">
        <w:rPr>
          <w:rFonts w:ascii="Arial" w:hAnsi="Arial" w:cs="Arial"/>
          <w:b/>
          <w:bCs/>
          <w:sz w:val="20"/>
          <w:szCs w:val="20"/>
        </w:rPr>
        <w:t>Partners</w:t>
      </w:r>
      <w:r w:rsidRPr="00085092">
        <w:rPr>
          <w:rFonts w:ascii="Arial" w:hAnsi="Arial" w:cs="Arial"/>
          <w:sz w:val="20"/>
          <w:szCs w:val="20"/>
        </w:rPr>
        <w:t>.</w:t>
      </w:r>
    </w:p>
    <w:p w:rsidR="00085092" w:rsidRPr="00085092" w:rsidRDefault="00085092" w:rsidP="00085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40" w:line="240" w:lineRule="auto"/>
        <w:jc w:val="both"/>
        <w:rPr>
          <w:rFonts w:ascii="Arial" w:hAnsi="Arial" w:cs="Arial"/>
          <w:sz w:val="20"/>
          <w:szCs w:val="20"/>
        </w:rPr>
      </w:pPr>
      <w:r w:rsidRPr="00085092">
        <w:rPr>
          <w:rFonts w:ascii="Arial" w:hAnsi="Arial" w:cs="Arial"/>
          <w:sz w:val="20"/>
          <w:szCs w:val="20"/>
        </w:rPr>
        <w:t xml:space="preserve">We may receive a proportion of that commission from </w:t>
      </w:r>
      <w:r w:rsidRPr="00085092">
        <w:rPr>
          <w:rFonts w:ascii="Arial" w:hAnsi="Arial" w:cs="Arial"/>
          <w:b/>
          <w:bCs/>
          <w:sz w:val="20"/>
          <w:szCs w:val="20"/>
        </w:rPr>
        <w:t>Steadfast</w:t>
      </w:r>
      <w:r w:rsidRPr="00085092">
        <w:rPr>
          <w:rFonts w:ascii="Arial" w:hAnsi="Arial" w:cs="Arial"/>
          <w:sz w:val="20"/>
          <w:szCs w:val="20"/>
        </w:rPr>
        <w:t xml:space="preserve"> at the end of each financial year (or other agreed period). As a </w:t>
      </w:r>
      <w:r w:rsidRPr="00085092">
        <w:rPr>
          <w:rFonts w:ascii="Arial" w:hAnsi="Arial" w:cs="Arial"/>
          <w:b/>
          <w:bCs/>
          <w:sz w:val="20"/>
          <w:szCs w:val="20"/>
        </w:rPr>
        <w:t>Steadfast</w:t>
      </w:r>
      <w:r w:rsidRPr="00085092">
        <w:rPr>
          <w:rFonts w:ascii="Arial" w:hAnsi="Arial" w:cs="Arial"/>
          <w:sz w:val="20"/>
          <w:szCs w:val="20"/>
        </w:rPr>
        <w:t xml:space="preserve"> Network Broker we have access to member services including model operating and compliance tools, procedures, manuals and training, legal, technical, banking and recruitment advice and assistance, group insurance arrangements, product comparison and placement support, claims support and group purchasing arrangements. These member services are either funded by </w:t>
      </w:r>
      <w:r w:rsidRPr="00085092">
        <w:rPr>
          <w:rFonts w:ascii="Arial" w:hAnsi="Arial" w:cs="Arial"/>
          <w:b/>
          <w:bCs/>
          <w:sz w:val="20"/>
          <w:szCs w:val="20"/>
        </w:rPr>
        <w:t>Steadfast</w:t>
      </w:r>
      <w:r w:rsidRPr="00085092">
        <w:rPr>
          <w:rFonts w:ascii="Arial" w:hAnsi="Arial" w:cs="Arial"/>
          <w:sz w:val="20"/>
          <w:szCs w:val="20"/>
        </w:rPr>
        <w:t xml:space="preserve">, subsidised by </w:t>
      </w:r>
      <w:r w:rsidRPr="00085092">
        <w:rPr>
          <w:rFonts w:ascii="Arial" w:hAnsi="Arial" w:cs="Arial"/>
          <w:b/>
          <w:bCs/>
          <w:sz w:val="20"/>
          <w:szCs w:val="20"/>
        </w:rPr>
        <w:t>Steadfast</w:t>
      </w:r>
      <w:r w:rsidRPr="00085092">
        <w:rPr>
          <w:rFonts w:ascii="Arial" w:hAnsi="Arial" w:cs="Arial"/>
          <w:sz w:val="20"/>
          <w:szCs w:val="20"/>
        </w:rPr>
        <w:t xml:space="preserve"> or available exclusively to </w:t>
      </w:r>
      <w:r w:rsidRPr="00085092">
        <w:rPr>
          <w:rFonts w:ascii="Arial" w:hAnsi="Arial" w:cs="Arial"/>
          <w:b/>
          <w:bCs/>
          <w:sz w:val="20"/>
          <w:szCs w:val="20"/>
        </w:rPr>
        <w:t>Steadfast</w:t>
      </w:r>
      <w:r w:rsidRPr="00085092">
        <w:rPr>
          <w:rFonts w:ascii="Arial" w:hAnsi="Arial" w:cs="Arial"/>
          <w:sz w:val="20"/>
          <w:szCs w:val="20"/>
        </w:rPr>
        <w:t xml:space="preserve"> Network Brokers for a fee.  You can obtain a copy of </w:t>
      </w:r>
      <w:r w:rsidRPr="00085092">
        <w:rPr>
          <w:rFonts w:ascii="Arial" w:hAnsi="Arial" w:cs="Arial"/>
          <w:b/>
          <w:bCs/>
          <w:sz w:val="20"/>
          <w:szCs w:val="20"/>
        </w:rPr>
        <w:t>Steadfast's</w:t>
      </w:r>
      <w:r w:rsidRPr="00085092">
        <w:rPr>
          <w:rFonts w:ascii="Arial" w:hAnsi="Arial" w:cs="Arial"/>
          <w:sz w:val="20"/>
          <w:szCs w:val="20"/>
        </w:rPr>
        <w:t xml:space="preserve"> FSG at www.steadfast.com.au</w:t>
      </w:r>
    </w:p>
    <w:p w:rsidR="00085092" w:rsidRPr="00085092" w:rsidRDefault="00085092" w:rsidP="000850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40" w:after="40" w:line="240" w:lineRule="auto"/>
        <w:jc w:val="center"/>
        <w:outlineLvl w:val="1"/>
        <w:rPr>
          <w:rFonts w:ascii="Arial Bold" w:hAnsi="Arial Bold" w:cs="Arial Bold"/>
          <w:b/>
          <w:bCs/>
        </w:rPr>
      </w:pPr>
      <w:r w:rsidRPr="00085092">
        <w:rPr>
          <w:rFonts w:ascii="Arial Bold" w:hAnsi="Arial Bold" w:cs="Arial Bold"/>
          <w:b/>
          <w:bCs/>
        </w:rPr>
        <w:lastRenderedPageBreak/>
        <w:t>HOW OUR REPRESENTATIVES ARE PAID</w:t>
      </w:r>
    </w:p>
    <w:p w:rsidR="00085092" w:rsidRPr="00085092" w:rsidRDefault="00085092" w:rsidP="00085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40" w:line="240" w:lineRule="auto"/>
        <w:jc w:val="both"/>
        <w:rPr>
          <w:rFonts w:ascii="Arial" w:hAnsi="Arial" w:cs="Arial"/>
          <w:sz w:val="20"/>
          <w:szCs w:val="20"/>
        </w:rPr>
      </w:pPr>
      <w:r w:rsidRPr="00085092">
        <w:rPr>
          <w:rFonts w:ascii="Arial" w:hAnsi="Arial" w:cs="Arial"/>
          <w:sz w:val="20"/>
          <w:szCs w:val="20"/>
        </w:rPr>
        <w:t xml:space="preserve">Our representatives do not receive any benefit directly from the sale of a product to you.  Our representatives may receive bonuses payable based on the overall performance of our business.  </w:t>
      </w:r>
    </w:p>
    <w:p w:rsidR="00085092" w:rsidRPr="00085092" w:rsidRDefault="00085092" w:rsidP="00085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40" w:line="240" w:lineRule="auto"/>
        <w:jc w:val="both"/>
        <w:rPr>
          <w:rFonts w:ascii="Arial" w:hAnsi="Arial" w:cs="Arial"/>
          <w:sz w:val="20"/>
          <w:szCs w:val="20"/>
        </w:rPr>
      </w:pPr>
      <w:r w:rsidRPr="00085092">
        <w:rPr>
          <w:rFonts w:ascii="Arial" w:hAnsi="Arial" w:cs="Arial"/>
          <w:sz w:val="20"/>
          <w:szCs w:val="20"/>
        </w:rPr>
        <w:t>If a person has referred you to us, we may pay them a part of any fees or commission received.  If you are a Retail Client and receive Personal Advice full remuneration details will be disclosed in the SOA or invoices related to the advice.</w:t>
      </w:r>
    </w:p>
    <w:p w:rsidR="00085092" w:rsidRPr="00085092" w:rsidRDefault="00085092" w:rsidP="000850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40" w:after="40" w:line="240" w:lineRule="auto"/>
        <w:jc w:val="center"/>
        <w:outlineLvl w:val="1"/>
        <w:rPr>
          <w:rFonts w:ascii="Arial Bold" w:hAnsi="Arial Bold" w:cs="Arial Bold"/>
          <w:b/>
          <w:bCs/>
        </w:rPr>
      </w:pPr>
      <w:r w:rsidRPr="00085092">
        <w:rPr>
          <w:rFonts w:ascii="Arial Bold" w:hAnsi="Arial Bold" w:cs="Arial Bold"/>
          <w:b/>
          <w:bCs/>
        </w:rPr>
        <w:t>CONFLICTS OF INTEREST</w:t>
      </w:r>
    </w:p>
    <w:p w:rsidR="00085092" w:rsidRPr="00085092" w:rsidRDefault="00085092" w:rsidP="00085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40" w:line="240" w:lineRule="auto"/>
        <w:jc w:val="both"/>
        <w:rPr>
          <w:rFonts w:ascii="Arial" w:hAnsi="Arial" w:cs="Arial"/>
          <w:sz w:val="20"/>
          <w:szCs w:val="20"/>
        </w:rPr>
      </w:pPr>
      <w:r w:rsidRPr="00085092">
        <w:rPr>
          <w:rFonts w:ascii="Arial" w:hAnsi="Arial" w:cs="Arial"/>
          <w:sz w:val="20"/>
          <w:szCs w:val="20"/>
        </w:rPr>
        <w:t>As a business we have relationships with and receive income from various third parties as detailed in this FSG. For Retail Clients receiving Personal Advice, details of relationships that impact the advice will be included in any SOA or invoice documentation we send you.  All material conflicts that impact our advice, that are not mentioned in this FSG, will be advised to you on the invoices related to that advice.</w:t>
      </w:r>
    </w:p>
    <w:p w:rsidR="00085092" w:rsidRPr="00085092" w:rsidRDefault="00085092" w:rsidP="00085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40" w:line="240" w:lineRule="auto"/>
        <w:jc w:val="center"/>
        <w:rPr>
          <w:rFonts w:ascii="Arial" w:hAnsi="Arial" w:cs="Arial"/>
          <w:sz w:val="20"/>
          <w:szCs w:val="20"/>
        </w:rPr>
      </w:pPr>
      <w:r w:rsidRPr="00085092">
        <w:rPr>
          <w:rFonts w:ascii="Arial" w:hAnsi="Arial" w:cs="Arial"/>
          <w:b/>
          <w:bCs/>
          <w:sz w:val="36"/>
          <w:szCs w:val="36"/>
        </w:rPr>
        <w:t>Moran Insurance Brokers</w:t>
      </w:r>
    </w:p>
    <w:p w:rsidR="00085092" w:rsidRPr="00085092" w:rsidRDefault="00085092" w:rsidP="00085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40" w:line="240" w:lineRule="auto"/>
        <w:jc w:val="center"/>
        <w:rPr>
          <w:rFonts w:ascii="Arial" w:hAnsi="Arial" w:cs="Arial"/>
          <w:b/>
          <w:bCs/>
          <w:sz w:val="20"/>
          <w:szCs w:val="20"/>
        </w:rPr>
      </w:pPr>
      <w:r w:rsidRPr="00085092">
        <w:rPr>
          <w:rFonts w:ascii="Arial" w:hAnsi="Arial" w:cs="Arial"/>
          <w:b/>
          <w:bCs/>
          <w:sz w:val="20"/>
          <w:szCs w:val="20"/>
        </w:rPr>
        <w:t>Australian Financial Services</w:t>
      </w:r>
    </w:p>
    <w:p w:rsidR="00085092" w:rsidRPr="00085092" w:rsidRDefault="00085092" w:rsidP="00085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40" w:line="240" w:lineRule="auto"/>
        <w:jc w:val="center"/>
        <w:rPr>
          <w:rFonts w:ascii="Arial" w:hAnsi="Arial" w:cs="Arial"/>
          <w:b/>
          <w:bCs/>
          <w:sz w:val="20"/>
          <w:szCs w:val="20"/>
        </w:rPr>
      </w:pPr>
      <w:r w:rsidRPr="00085092">
        <w:rPr>
          <w:rFonts w:ascii="Arial" w:hAnsi="Arial" w:cs="Arial"/>
          <w:b/>
          <w:bCs/>
          <w:sz w:val="20"/>
          <w:szCs w:val="20"/>
        </w:rPr>
        <w:t>Licence No: 231145</w:t>
      </w:r>
    </w:p>
    <w:p w:rsidR="00085092" w:rsidRPr="00085092" w:rsidRDefault="00085092" w:rsidP="00085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40" w:line="240" w:lineRule="auto"/>
        <w:jc w:val="center"/>
        <w:rPr>
          <w:rFonts w:ascii="Arial" w:hAnsi="Arial" w:cs="Arial"/>
          <w:b/>
          <w:bCs/>
          <w:sz w:val="20"/>
          <w:szCs w:val="20"/>
        </w:rPr>
      </w:pPr>
      <w:r w:rsidRPr="00085092">
        <w:rPr>
          <w:rFonts w:ascii="Arial" w:hAnsi="Arial" w:cs="Arial"/>
          <w:b/>
          <w:bCs/>
          <w:sz w:val="20"/>
          <w:szCs w:val="20"/>
        </w:rPr>
        <w:t>ACN: 006 191 180</w:t>
      </w:r>
    </w:p>
    <w:p w:rsidR="00085092" w:rsidRPr="00085092" w:rsidRDefault="00085092" w:rsidP="00085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40" w:line="240" w:lineRule="auto"/>
        <w:jc w:val="center"/>
        <w:rPr>
          <w:rFonts w:ascii="Arial" w:hAnsi="Arial" w:cs="Arial"/>
          <w:sz w:val="20"/>
          <w:szCs w:val="20"/>
        </w:rPr>
      </w:pPr>
    </w:p>
    <w:p w:rsidR="00085092" w:rsidRPr="00085092" w:rsidRDefault="00085092" w:rsidP="00085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40" w:line="240" w:lineRule="auto"/>
        <w:jc w:val="center"/>
        <w:rPr>
          <w:rFonts w:ascii="Arial" w:hAnsi="Arial" w:cs="Arial"/>
          <w:b/>
          <w:bCs/>
          <w:sz w:val="36"/>
          <w:szCs w:val="36"/>
        </w:rPr>
      </w:pPr>
      <w:r w:rsidRPr="00085092">
        <w:rPr>
          <w:rFonts w:ascii="Arial" w:hAnsi="Arial" w:cs="Arial"/>
          <w:b/>
          <w:bCs/>
          <w:sz w:val="36"/>
          <w:szCs w:val="36"/>
        </w:rPr>
        <w:t>FINANCIAL SERVICES GUIDE</w:t>
      </w:r>
    </w:p>
    <w:p w:rsidR="00085092" w:rsidRPr="00085092" w:rsidRDefault="00085092" w:rsidP="00085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40" w:line="240" w:lineRule="auto"/>
        <w:jc w:val="center"/>
        <w:rPr>
          <w:rFonts w:ascii="Arial" w:hAnsi="Arial" w:cs="Arial"/>
          <w:b/>
          <w:bCs/>
          <w:sz w:val="20"/>
          <w:szCs w:val="20"/>
        </w:rPr>
      </w:pPr>
      <w:r w:rsidRPr="00085092">
        <w:rPr>
          <w:rFonts w:ascii="Arial" w:hAnsi="Arial" w:cs="Arial"/>
          <w:b/>
          <w:bCs/>
          <w:sz w:val="20"/>
          <w:szCs w:val="20"/>
        </w:rPr>
        <w:t>Unit 6, 34 Gough Street</w:t>
      </w:r>
    </w:p>
    <w:p w:rsidR="00085092" w:rsidRPr="00085092" w:rsidRDefault="00085092" w:rsidP="00085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40" w:line="240" w:lineRule="auto"/>
        <w:jc w:val="center"/>
        <w:rPr>
          <w:rFonts w:ascii="Arial" w:hAnsi="Arial" w:cs="Arial"/>
          <w:b/>
          <w:bCs/>
          <w:sz w:val="20"/>
          <w:szCs w:val="20"/>
        </w:rPr>
      </w:pPr>
      <w:r w:rsidRPr="00085092">
        <w:rPr>
          <w:rFonts w:ascii="Arial" w:hAnsi="Arial" w:cs="Arial"/>
          <w:b/>
          <w:bCs/>
          <w:sz w:val="20"/>
          <w:szCs w:val="20"/>
        </w:rPr>
        <w:t>Cremorne VIC 3121</w:t>
      </w:r>
    </w:p>
    <w:p w:rsidR="00085092" w:rsidRPr="00085092" w:rsidRDefault="00085092" w:rsidP="00085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40" w:line="240" w:lineRule="auto"/>
        <w:jc w:val="center"/>
        <w:rPr>
          <w:rFonts w:ascii="Arial" w:hAnsi="Arial" w:cs="Arial"/>
          <w:sz w:val="20"/>
          <w:szCs w:val="20"/>
        </w:rPr>
      </w:pPr>
    </w:p>
    <w:p w:rsidR="00085092" w:rsidRPr="00085092" w:rsidRDefault="00085092" w:rsidP="00085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40" w:line="240" w:lineRule="auto"/>
        <w:jc w:val="center"/>
        <w:rPr>
          <w:rFonts w:ascii="Arial" w:hAnsi="Arial" w:cs="Arial"/>
          <w:sz w:val="20"/>
          <w:szCs w:val="20"/>
        </w:rPr>
      </w:pPr>
    </w:p>
    <w:p w:rsidR="00085092" w:rsidRPr="00085092" w:rsidRDefault="00085092" w:rsidP="00085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40" w:line="240" w:lineRule="auto"/>
        <w:jc w:val="center"/>
        <w:rPr>
          <w:rFonts w:ascii="Arial" w:hAnsi="Arial" w:cs="Arial"/>
          <w:b/>
          <w:bCs/>
          <w:sz w:val="20"/>
          <w:szCs w:val="20"/>
        </w:rPr>
      </w:pPr>
      <w:r w:rsidRPr="00085092">
        <w:rPr>
          <w:rFonts w:ascii="Arial" w:hAnsi="Arial" w:cs="Arial"/>
          <w:b/>
          <w:bCs/>
          <w:sz w:val="20"/>
          <w:szCs w:val="20"/>
        </w:rPr>
        <w:t>PHONE: (03) 9427 0288</w:t>
      </w:r>
    </w:p>
    <w:p w:rsidR="00085092" w:rsidRPr="00085092" w:rsidRDefault="00085092" w:rsidP="00085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40" w:line="240" w:lineRule="auto"/>
        <w:jc w:val="center"/>
        <w:rPr>
          <w:rFonts w:ascii="Arial" w:hAnsi="Arial" w:cs="Arial"/>
          <w:b/>
          <w:bCs/>
          <w:sz w:val="20"/>
          <w:szCs w:val="20"/>
        </w:rPr>
      </w:pPr>
    </w:p>
    <w:p w:rsidR="00085092" w:rsidRPr="00085092" w:rsidRDefault="00085092" w:rsidP="00085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40" w:line="240" w:lineRule="auto"/>
        <w:jc w:val="center"/>
        <w:rPr>
          <w:rFonts w:ascii="Arial" w:hAnsi="Arial" w:cs="Arial"/>
          <w:b/>
          <w:bCs/>
          <w:sz w:val="10"/>
          <w:szCs w:val="10"/>
        </w:rPr>
      </w:pPr>
      <w:r w:rsidRPr="00085092">
        <w:rPr>
          <w:rFonts w:ascii="Arial" w:hAnsi="Arial" w:cs="Arial"/>
          <w:b/>
          <w:bCs/>
          <w:sz w:val="20"/>
          <w:szCs w:val="20"/>
        </w:rPr>
        <w:t xml:space="preserve">EMAIL: </w:t>
      </w:r>
      <w:hyperlink r:id="rId5" w:history="1">
        <w:r w:rsidRPr="00085092">
          <w:rPr>
            <w:rFonts w:ascii="Arial Bold" w:hAnsi="Arial Bold" w:cs="Arial Bold"/>
            <w:b/>
            <w:bCs/>
            <w:color w:val="0000FF"/>
            <w:u w:val="single"/>
          </w:rPr>
          <w:t>info@moran-ib.com.au</w:t>
        </w:r>
      </w:hyperlink>
    </w:p>
    <w:p w:rsidR="00085092" w:rsidRPr="00085092" w:rsidRDefault="00085092" w:rsidP="000850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40" w:line="240" w:lineRule="auto"/>
        <w:jc w:val="center"/>
        <w:rPr>
          <w:rFonts w:ascii="Arial Bold" w:hAnsi="Arial Bold" w:cs="Arial Bold"/>
          <w:b/>
          <w:bCs/>
          <w:color w:val="0000FF"/>
          <w:u w:val="single"/>
        </w:rPr>
      </w:pPr>
      <w:r w:rsidRPr="00085092">
        <w:rPr>
          <w:rFonts w:ascii="Arial" w:hAnsi="Arial" w:cs="Arial"/>
          <w:b/>
          <w:bCs/>
          <w:sz w:val="20"/>
          <w:szCs w:val="20"/>
        </w:rPr>
        <w:t xml:space="preserve">WEBSITE: </w:t>
      </w:r>
      <w:r w:rsidRPr="00085092">
        <w:rPr>
          <w:rFonts w:ascii="Arial Bold" w:hAnsi="Arial Bold" w:cs="Arial Bold"/>
          <w:b/>
          <w:bCs/>
          <w:color w:val="0000FF"/>
          <w:u w:val="single"/>
        </w:rPr>
        <w:fldChar w:fldCharType="begin"/>
      </w:r>
      <w:r w:rsidRPr="00085092">
        <w:rPr>
          <w:rFonts w:ascii="Arial Bold" w:hAnsi="Arial Bold" w:cs="Arial Bold"/>
          <w:b/>
          <w:bCs/>
          <w:color w:val="0000FF"/>
          <w:u w:val="single"/>
        </w:rPr>
        <w:instrText xml:space="preserve"> HYPERLINK "http://www.moraninsurance.com.au" </w:instrText>
      </w:r>
      <w:r w:rsidRPr="00085092">
        <w:rPr>
          <w:rFonts w:ascii="Arial Bold" w:hAnsi="Arial Bold" w:cs="Arial Bold"/>
          <w:b/>
          <w:bCs/>
          <w:color w:val="0000FF"/>
          <w:u w:val="single"/>
        </w:rPr>
      </w:r>
      <w:r w:rsidRPr="00085092">
        <w:rPr>
          <w:rFonts w:ascii="Arial Bold" w:hAnsi="Arial Bold" w:cs="Arial Bold"/>
          <w:b/>
          <w:bCs/>
          <w:color w:val="0000FF"/>
          <w:u w:val="single"/>
        </w:rPr>
        <w:fldChar w:fldCharType="separate"/>
      </w:r>
      <w:r w:rsidRPr="00085092">
        <w:rPr>
          <w:rFonts w:ascii="Arial Bold" w:hAnsi="Arial Bold" w:cs="Arial Bold"/>
          <w:b/>
          <w:bCs/>
          <w:color w:val="0000FF"/>
          <w:u w:val="single"/>
        </w:rPr>
        <w:t>www.moraninsurance.com.au</w:t>
      </w:r>
    </w:p>
    <w:p w:rsidR="00085092" w:rsidRPr="00085092" w:rsidRDefault="00085092" w:rsidP="000850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40" w:line="240" w:lineRule="auto"/>
        <w:jc w:val="center"/>
        <w:rPr>
          <w:rFonts w:ascii="Arial" w:hAnsi="Arial" w:cs="Arial"/>
          <w:b/>
          <w:bCs/>
          <w:sz w:val="20"/>
          <w:szCs w:val="20"/>
        </w:rPr>
      </w:pPr>
      <w:r w:rsidRPr="00085092">
        <w:rPr>
          <w:rFonts w:ascii="Arial Bold" w:hAnsi="Arial Bold" w:cs="Arial Bold"/>
          <w:b/>
          <w:bCs/>
          <w:color w:val="0000FF"/>
          <w:u w:val="single"/>
        </w:rPr>
        <w:fldChar w:fldCharType="end"/>
      </w:r>
    </w:p>
    <w:p w:rsidR="00085092" w:rsidRPr="00085092" w:rsidRDefault="00085092" w:rsidP="000850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40" w:line="240" w:lineRule="auto"/>
        <w:jc w:val="center"/>
        <w:rPr>
          <w:rFonts w:ascii="Arial" w:hAnsi="Arial" w:cs="Arial"/>
          <w:sz w:val="20"/>
          <w:szCs w:val="20"/>
        </w:rPr>
      </w:pPr>
      <w:r w:rsidRPr="00085092">
        <w:rPr>
          <w:rFonts w:ascii="Arial" w:hAnsi="Arial" w:cs="Arial"/>
          <w:b/>
          <w:bCs/>
          <w:sz w:val="20"/>
          <w:szCs w:val="20"/>
        </w:rPr>
        <w:t>THIS FSG APPLIES FROM 28/05/2021</w:t>
      </w:r>
    </w:p>
    <w:p w:rsidR="00085092" w:rsidRPr="00085092" w:rsidRDefault="00085092" w:rsidP="00085092">
      <w:pPr>
        <w:widowControl w:val="0"/>
        <w:autoSpaceDE w:val="0"/>
        <w:autoSpaceDN w:val="0"/>
        <w:adjustRightInd w:val="0"/>
        <w:spacing w:after="0" w:line="240" w:lineRule="auto"/>
        <w:rPr>
          <w:rFonts w:ascii="Arial" w:hAnsi="Arial" w:cs="Arial"/>
          <w:sz w:val="20"/>
          <w:szCs w:val="20"/>
        </w:rPr>
      </w:pPr>
    </w:p>
    <w:p w:rsidR="00BD3E10" w:rsidRDefault="00BD3E10">
      <w:bookmarkStart w:id="0" w:name="_GoBack"/>
      <w:bookmarkEnd w:id="0"/>
    </w:p>
    <w:sectPr w:rsidR="00BD3E10" w:rsidSect="002E4DAB">
      <w:headerReference w:type="default" r:id="rId6"/>
      <w:pgSz w:w="11909" w:h="16834"/>
      <w:pgMar w:top="547" w:right="446" w:bottom="547" w:left="446" w:header="576"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DAB" w:rsidRDefault="00085092">
    <w:pPr>
      <w:pStyle w:val="Normal0"/>
      <w:rPr>
        <w:sz w:val="16"/>
        <w:szCs w:val="16"/>
      </w:rPr>
    </w:pPr>
    <w:r>
      <w:rPr>
        <w:b/>
        <w:bCs/>
      </w:rPr>
      <w:t xml:space="preserve">Schedule of Insurance                                                                                                                </w:t>
    </w:r>
    <w:r>
      <w:rPr>
        <w:sz w:val="16"/>
        <w:szCs w:val="16"/>
      </w:rPr>
      <w:t xml:space="preserve">Page </w:t>
    </w:r>
    <w:r>
      <w:rPr>
        <w:sz w:val="16"/>
        <w:szCs w:val="16"/>
      </w:rPr>
      <w:fldChar w:fldCharType="begin"/>
    </w:r>
    <w:r>
      <w:rPr>
        <w:sz w:val="16"/>
        <w:szCs w:val="16"/>
      </w:rPr>
      <w:instrText xml:space="preserve"> PAGE \* Arabic </w:instrText>
    </w:r>
    <w:r>
      <w:rPr>
        <w:sz w:val="16"/>
        <w:szCs w:val="16"/>
      </w:rPr>
      <w:fldChar w:fldCharType="separate"/>
    </w:r>
    <w:r>
      <w:rPr>
        <w:noProof/>
        <w:sz w:val="16"/>
        <w:szCs w:val="16"/>
      </w:rPr>
      <w:t>2</w:t>
    </w:r>
    <w:r>
      <w:rPr>
        <w:sz w:val="16"/>
        <w:szCs w:val="16"/>
      </w:rPr>
      <w:fldChar w:fldCharType="end"/>
    </w:r>
  </w:p>
  <w:p w:rsidR="002E4DAB" w:rsidRDefault="00085092">
    <w:pPr>
      <w:pStyle w:val="Normal0"/>
      <w:rPr>
        <w:sz w:val="16"/>
        <w:szCs w:val="16"/>
      </w:rPr>
    </w:pPr>
    <w:r>
      <w:rPr>
        <w:noProof/>
        <w:sz w:val="16"/>
        <w:szCs w:val="16"/>
        <w:lang w:eastAsia="en-AU"/>
      </w:rPr>
      <mc:AlternateContent>
        <mc:Choice Requires="wps">
          <w:drawing>
            <wp:inline distT="0" distB="0" distL="0" distR="0">
              <wp:extent cx="6948805" cy="685165"/>
              <wp:effectExtent l="9525" t="9525" r="13970" b="1016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8805" cy="685165"/>
                      </a:xfrm>
                      <a:prstGeom prst="rect">
                        <a:avLst/>
                      </a:prstGeom>
                      <a:solidFill>
                        <a:srgbClr val="D3D3D3"/>
                      </a:solidFill>
                      <a:ln w="9525">
                        <a:solidFill>
                          <a:srgbClr val="000000"/>
                        </a:solidFill>
                        <a:miter lim="800000"/>
                        <a:headEnd/>
                        <a:tailEnd/>
                      </a:ln>
                    </wps:spPr>
                    <wps:txbx>
                      <w:txbxContent>
                        <w:tbl>
                          <w:tblPr>
                            <w:tblW w:w="0" w:type="auto"/>
                            <w:tblLayout w:type="fixed"/>
                            <w:tblCellMar>
                              <w:left w:w="36" w:type="dxa"/>
                              <w:right w:w="36" w:type="dxa"/>
                            </w:tblCellMar>
                            <w:tblLook w:val="0000" w:firstRow="0" w:lastRow="0" w:firstColumn="0" w:lastColumn="0" w:noHBand="0" w:noVBand="0"/>
                          </w:tblPr>
                          <w:tblGrid>
                            <w:gridCol w:w="1728"/>
                            <w:gridCol w:w="5040"/>
                            <w:gridCol w:w="1296"/>
                            <w:gridCol w:w="2880"/>
                          </w:tblGrid>
                          <w:tr w:rsidR="002E4DAB">
                            <w:tc>
                              <w:tcPr>
                                <w:tcW w:w="1728" w:type="dxa"/>
                                <w:tcBorders>
                                  <w:top w:val="nil"/>
                                  <w:left w:val="nil"/>
                                  <w:bottom w:val="nil"/>
                                  <w:right w:val="nil"/>
                                </w:tcBorders>
                              </w:tcPr>
                              <w:p w:rsidR="002E4DAB" w:rsidRDefault="00085092">
                                <w:pPr>
                                  <w:pStyle w:val="Normal0"/>
                                  <w:rPr>
                                    <w:b/>
                                    <w:bCs/>
                                    <w:sz w:val="20"/>
                                    <w:szCs w:val="20"/>
                                  </w:rPr>
                                </w:pPr>
                                <w:r>
                                  <w:rPr>
                                    <w:b/>
                                    <w:bCs/>
                                    <w:sz w:val="20"/>
                                    <w:szCs w:val="20"/>
                                  </w:rPr>
                                  <w:t>Class of Policy:</w:t>
                                </w:r>
                              </w:p>
                            </w:tc>
                            <w:tc>
                              <w:tcPr>
                                <w:tcW w:w="5040" w:type="dxa"/>
                                <w:tcBorders>
                                  <w:top w:val="nil"/>
                                  <w:left w:val="nil"/>
                                  <w:bottom w:val="nil"/>
                                  <w:right w:val="nil"/>
                                </w:tcBorders>
                              </w:tcPr>
                              <w:p w:rsidR="002E4DAB" w:rsidRDefault="00085092">
                                <w:pPr>
                                  <w:pStyle w:val="Normal0"/>
                                  <w:rPr>
                                    <w:sz w:val="20"/>
                                    <w:szCs w:val="20"/>
                                  </w:rPr>
                                </w:pPr>
                              </w:p>
                            </w:tc>
                            <w:tc>
                              <w:tcPr>
                                <w:tcW w:w="1296" w:type="dxa"/>
                                <w:tcBorders>
                                  <w:top w:val="nil"/>
                                  <w:left w:val="nil"/>
                                  <w:bottom w:val="nil"/>
                                  <w:right w:val="nil"/>
                                </w:tcBorders>
                              </w:tcPr>
                              <w:p w:rsidR="002E4DAB" w:rsidRDefault="00085092">
                                <w:pPr>
                                  <w:pStyle w:val="Normal0"/>
                                  <w:rPr>
                                    <w:b/>
                                    <w:bCs/>
                                    <w:sz w:val="20"/>
                                    <w:szCs w:val="20"/>
                                  </w:rPr>
                                </w:pPr>
                                <w:r>
                                  <w:rPr>
                                    <w:b/>
                                    <w:bCs/>
                                    <w:sz w:val="20"/>
                                    <w:szCs w:val="20"/>
                                  </w:rPr>
                                  <w:t>Policy No:</w:t>
                                </w:r>
                              </w:p>
                            </w:tc>
                            <w:tc>
                              <w:tcPr>
                                <w:tcW w:w="2880" w:type="dxa"/>
                                <w:tcBorders>
                                  <w:top w:val="nil"/>
                                  <w:left w:val="nil"/>
                                  <w:bottom w:val="nil"/>
                                  <w:right w:val="nil"/>
                                </w:tcBorders>
                              </w:tcPr>
                              <w:p w:rsidR="002E4DAB" w:rsidRDefault="00085092">
                                <w:pPr>
                                  <w:pStyle w:val="Normal0"/>
                                  <w:rPr>
                                    <w:sz w:val="20"/>
                                    <w:szCs w:val="20"/>
                                  </w:rPr>
                                </w:pPr>
                              </w:p>
                            </w:tc>
                          </w:tr>
                          <w:tr w:rsidR="002E4DAB">
                            <w:tc>
                              <w:tcPr>
                                <w:tcW w:w="1728" w:type="dxa"/>
                                <w:tcBorders>
                                  <w:top w:val="nil"/>
                                  <w:left w:val="nil"/>
                                  <w:bottom w:val="nil"/>
                                  <w:right w:val="nil"/>
                                </w:tcBorders>
                              </w:tcPr>
                              <w:p w:rsidR="002E4DAB" w:rsidRDefault="00085092">
                                <w:pPr>
                                  <w:pStyle w:val="Normal0"/>
                                  <w:rPr>
                                    <w:b/>
                                    <w:bCs/>
                                    <w:sz w:val="20"/>
                                    <w:szCs w:val="20"/>
                                  </w:rPr>
                                </w:pPr>
                                <w:r>
                                  <w:rPr>
                                    <w:b/>
                                    <w:bCs/>
                                    <w:sz w:val="20"/>
                                    <w:szCs w:val="20"/>
                                  </w:rPr>
                                  <w:t>The Insured:</w:t>
                                </w:r>
                              </w:p>
                            </w:tc>
                            <w:tc>
                              <w:tcPr>
                                <w:tcW w:w="5040" w:type="dxa"/>
                                <w:tcBorders>
                                  <w:top w:val="nil"/>
                                  <w:left w:val="nil"/>
                                  <w:bottom w:val="nil"/>
                                  <w:right w:val="nil"/>
                                </w:tcBorders>
                              </w:tcPr>
                              <w:p w:rsidR="002E4DAB" w:rsidRDefault="00085092">
                                <w:pPr>
                                  <w:pStyle w:val="Normal0"/>
                                  <w:rPr>
                                    <w:sz w:val="20"/>
                                    <w:szCs w:val="20"/>
                                  </w:rPr>
                                </w:pPr>
                              </w:p>
                            </w:tc>
                            <w:tc>
                              <w:tcPr>
                                <w:tcW w:w="1296" w:type="dxa"/>
                                <w:tcBorders>
                                  <w:top w:val="nil"/>
                                  <w:left w:val="nil"/>
                                  <w:bottom w:val="nil"/>
                                  <w:right w:val="nil"/>
                                </w:tcBorders>
                              </w:tcPr>
                              <w:p w:rsidR="002E4DAB" w:rsidRDefault="00085092">
                                <w:pPr>
                                  <w:pStyle w:val="Normal0"/>
                                  <w:rPr>
                                    <w:b/>
                                    <w:bCs/>
                                    <w:sz w:val="20"/>
                                    <w:szCs w:val="20"/>
                                  </w:rPr>
                                </w:pPr>
                                <w:r>
                                  <w:rPr>
                                    <w:b/>
                                    <w:bCs/>
                                    <w:sz w:val="20"/>
                                    <w:szCs w:val="20"/>
                                  </w:rPr>
                                  <w:t>Invoice No:</w:t>
                                </w:r>
                              </w:p>
                            </w:tc>
                            <w:tc>
                              <w:tcPr>
                                <w:tcW w:w="2880" w:type="dxa"/>
                                <w:tcBorders>
                                  <w:top w:val="nil"/>
                                  <w:left w:val="nil"/>
                                  <w:bottom w:val="nil"/>
                                  <w:right w:val="nil"/>
                                </w:tcBorders>
                              </w:tcPr>
                              <w:p w:rsidR="002E4DAB" w:rsidRDefault="00085092">
                                <w:pPr>
                                  <w:pStyle w:val="Normal0"/>
                                  <w:rPr>
                                    <w:sz w:val="20"/>
                                    <w:szCs w:val="20"/>
                                  </w:rPr>
                                </w:pPr>
                              </w:p>
                            </w:tc>
                          </w:tr>
                          <w:tr w:rsidR="002E4DAB">
                            <w:tc>
                              <w:tcPr>
                                <w:tcW w:w="1728" w:type="dxa"/>
                                <w:tcBorders>
                                  <w:top w:val="nil"/>
                                  <w:left w:val="nil"/>
                                  <w:bottom w:val="nil"/>
                                  <w:right w:val="nil"/>
                                </w:tcBorders>
                              </w:tcPr>
                              <w:p w:rsidR="002E4DAB" w:rsidRDefault="00085092">
                                <w:pPr>
                                  <w:pStyle w:val="Normal0"/>
                                  <w:rPr>
                                    <w:b/>
                                    <w:bCs/>
                                    <w:sz w:val="20"/>
                                    <w:szCs w:val="20"/>
                                  </w:rPr>
                                </w:pPr>
                              </w:p>
                            </w:tc>
                            <w:tc>
                              <w:tcPr>
                                <w:tcW w:w="5040" w:type="dxa"/>
                                <w:tcBorders>
                                  <w:top w:val="nil"/>
                                  <w:left w:val="nil"/>
                                  <w:bottom w:val="nil"/>
                                  <w:right w:val="nil"/>
                                </w:tcBorders>
                              </w:tcPr>
                              <w:p w:rsidR="002E4DAB" w:rsidRDefault="00085092">
                                <w:pPr>
                                  <w:pStyle w:val="Normal0"/>
                                  <w:rPr>
                                    <w:sz w:val="20"/>
                                    <w:szCs w:val="20"/>
                                  </w:rPr>
                                </w:pPr>
                              </w:p>
                            </w:tc>
                            <w:tc>
                              <w:tcPr>
                                <w:tcW w:w="1296" w:type="dxa"/>
                                <w:tcBorders>
                                  <w:top w:val="nil"/>
                                  <w:left w:val="nil"/>
                                  <w:bottom w:val="nil"/>
                                  <w:right w:val="nil"/>
                                </w:tcBorders>
                              </w:tcPr>
                              <w:p w:rsidR="002E4DAB" w:rsidRDefault="00085092">
                                <w:pPr>
                                  <w:pStyle w:val="Normal0"/>
                                  <w:rPr>
                                    <w:b/>
                                    <w:bCs/>
                                    <w:sz w:val="20"/>
                                    <w:szCs w:val="20"/>
                                  </w:rPr>
                                </w:pPr>
                                <w:r>
                                  <w:rPr>
                                    <w:b/>
                                    <w:bCs/>
                                    <w:sz w:val="20"/>
                                    <w:szCs w:val="20"/>
                                  </w:rPr>
                                  <w:t>Our Ref:</w:t>
                                </w:r>
                              </w:p>
                            </w:tc>
                            <w:tc>
                              <w:tcPr>
                                <w:tcW w:w="2880" w:type="dxa"/>
                                <w:tcBorders>
                                  <w:top w:val="nil"/>
                                  <w:left w:val="nil"/>
                                  <w:bottom w:val="nil"/>
                                  <w:right w:val="nil"/>
                                </w:tcBorders>
                              </w:tcPr>
                              <w:p w:rsidR="002E4DAB" w:rsidRDefault="00085092">
                                <w:pPr>
                                  <w:pStyle w:val="Normal0"/>
                                  <w:rPr>
                                    <w:sz w:val="20"/>
                                    <w:szCs w:val="20"/>
                                  </w:rPr>
                                </w:pPr>
                              </w:p>
                            </w:tc>
                          </w:tr>
                        </w:tbl>
                        <w:p w:rsidR="002E4DAB" w:rsidRDefault="00085092">
                          <w:pPr>
                            <w:pStyle w:val="Normal0"/>
                            <w:rPr>
                              <w:sz w:val="20"/>
                              <w:szCs w:val="20"/>
                            </w:rPr>
                          </w:pPr>
                        </w:p>
                      </w:txbxContent>
                    </wps:txbx>
                    <wps:bodyPr rot="0" vert="horz" wrap="square" lIns="72390" tIns="36195" rIns="72390" bIns="36195"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47.15pt;height:5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" fillcolor="#d3d3d3">
              <v:textbox inset="5.7pt,2.85pt,5.7pt,2.85pt">
                <w:txbxContent>
                  <w:tbl>
                    <w:tblPr>
                      <w:tblW w:w="0" w:type="auto"/>
                      <w:tblLayout w:type="fixed"/>
                      <w:tblCellMar>
                        <w:left w:w="36" w:type="dxa"/>
                        <w:right w:w="36" w:type="dxa"/>
                      </w:tblCellMar>
                      <w:tblLook w:val="0000" w:firstRow="0" w:lastRow="0" w:firstColumn="0" w:lastColumn="0" w:noHBand="0" w:noVBand="0"/>
                    </w:tblPr>
                    <w:tblGrid>
                      <w:gridCol w:w="1728"/>
                      <w:gridCol w:w="5040"/>
                      <w:gridCol w:w="1296"/>
                      <w:gridCol w:w="2880"/>
                    </w:tblGrid>
                    <w:tr w:rsidR="002E4DAB">
                      <w:tc>
                        <w:tcPr>
                          <w:tcW w:w="1728" w:type="dxa"/>
                          <w:tcBorders>
                            <w:top w:val="nil"/>
                            <w:left w:val="nil"/>
                            <w:bottom w:val="nil"/>
                            <w:right w:val="nil"/>
                          </w:tcBorders>
                        </w:tcPr>
                        <w:p w:rsidR="002E4DAB" w:rsidRDefault="00085092">
                          <w:pPr>
                            <w:pStyle w:val="Normal0"/>
                            <w:rPr>
                              <w:b/>
                              <w:bCs/>
                              <w:sz w:val="20"/>
                              <w:szCs w:val="20"/>
                            </w:rPr>
                          </w:pPr>
                          <w:r>
                            <w:rPr>
                              <w:b/>
                              <w:bCs/>
                              <w:sz w:val="20"/>
                              <w:szCs w:val="20"/>
                            </w:rPr>
                            <w:t>Class of Policy:</w:t>
                          </w:r>
                        </w:p>
                      </w:tc>
                      <w:tc>
                        <w:tcPr>
                          <w:tcW w:w="5040" w:type="dxa"/>
                          <w:tcBorders>
                            <w:top w:val="nil"/>
                            <w:left w:val="nil"/>
                            <w:bottom w:val="nil"/>
                            <w:right w:val="nil"/>
                          </w:tcBorders>
                        </w:tcPr>
                        <w:p w:rsidR="002E4DAB" w:rsidRDefault="00085092">
                          <w:pPr>
                            <w:pStyle w:val="Normal0"/>
                            <w:rPr>
                              <w:sz w:val="20"/>
                              <w:szCs w:val="20"/>
                            </w:rPr>
                          </w:pPr>
                        </w:p>
                      </w:tc>
                      <w:tc>
                        <w:tcPr>
                          <w:tcW w:w="1296" w:type="dxa"/>
                          <w:tcBorders>
                            <w:top w:val="nil"/>
                            <w:left w:val="nil"/>
                            <w:bottom w:val="nil"/>
                            <w:right w:val="nil"/>
                          </w:tcBorders>
                        </w:tcPr>
                        <w:p w:rsidR="002E4DAB" w:rsidRDefault="00085092">
                          <w:pPr>
                            <w:pStyle w:val="Normal0"/>
                            <w:rPr>
                              <w:b/>
                              <w:bCs/>
                              <w:sz w:val="20"/>
                              <w:szCs w:val="20"/>
                            </w:rPr>
                          </w:pPr>
                          <w:r>
                            <w:rPr>
                              <w:b/>
                              <w:bCs/>
                              <w:sz w:val="20"/>
                              <w:szCs w:val="20"/>
                            </w:rPr>
                            <w:t>Policy No:</w:t>
                          </w:r>
                        </w:p>
                      </w:tc>
                      <w:tc>
                        <w:tcPr>
                          <w:tcW w:w="2880" w:type="dxa"/>
                          <w:tcBorders>
                            <w:top w:val="nil"/>
                            <w:left w:val="nil"/>
                            <w:bottom w:val="nil"/>
                            <w:right w:val="nil"/>
                          </w:tcBorders>
                        </w:tcPr>
                        <w:p w:rsidR="002E4DAB" w:rsidRDefault="00085092">
                          <w:pPr>
                            <w:pStyle w:val="Normal0"/>
                            <w:rPr>
                              <w:sz w:val="20"/>
                              <w:szCs w:val="20"/>
                            </w:rPr>
                          </w:pPr>
                        </w:p>
                      </w:tc>
                    </w:tr>
                    <w:tr w:rsidR="002E4DAB">
                      <w:tc>
                        <w:tcPr>
                          <w:tcW w:w="1728" w:type="dxa"/>
                          <w:tcBorders>
                            <w:top w:val="nil"/>
                            <w:left w:val="nil"/>
                            <w:bottom w:val="nil"/>
                            <w:right w:val="nil"/>
                          </w:tcBorders>
                        </w:tcPr>
                        <w:p w:rsidR="002E4DAB" w:rsidRDefault="00085092">
                          <w:pPr>
                            <w:pStyle w:val="Normal0"/>
                            <w:rPr>
                              <w:b/>
                              <w:bCs/>
                              <w:sz w:val="20"/>
                              <w:szCs w:val="20"/>
                            </w:rPr>
                          </w:pPr>
                          <w:r>
                            <w:rPr>
                              <w:b/>
                              <w:bCs/>
                              <w:sz w:val="20"/>
                              <w:szCs w:val="20"/>
                            </w:rPr>
                            <w:t>The Insured:</w:t>
                          </w:r>
                        </w:p>
                      </w:tc>
                      <w:tc>
                        <w:tcPr>
                          <w:tcW w:w="5040" w:type="dxa"/>
                          <w:tcBorders>
                            <w:top w:val="nil"/>
                            <w:left w:val="nil"/>
                            <w:bottom w:val="nil"/>
                            <w:right w:val="nil"/>
                          </w:tcBorders>
                        </w:tcPr>
                        <w:p w:rsidR="002E4DAB" w:rsidRDefault="00085092">
                          <w:pPr>
                            <w:pStyle w:val="Normal0"/>
                            <w:rPr>
                              <w:sz w:val="20"/>
                              <w:szCs w:val="20"/>
                            </w:rPr>
                          </w:pPr>
                        </w:p>
                      </w:tc>
                      <w:tc>
                        <w:tcPr>
                          <w:tcW w:w="1296" w:type="dxa"/>
                          <w:tcBorders>
                            <w:top w:val="nil"/>
                            <w:left w:val="nil"/>
                            <w:bottom w:val="nil"/>
                            <w:right w:val="nil"/>
                          </w:tcBorders>
                        </w:tcPr>
                        <w:p w:rsidR="002E4DAB" w:rsidRDefault="00085092">
                          <w:pPr>
                            <w:pStyle w:val="Normal0"/>
                            <w:rPr>
                              <w:b/>
                              <w:bCs/>
                              <w:sz w:val="20"/>
                              <w:szCs w:val="20"/>
                            </w:rPr>
                          </w:pPr>
                          <w:r>
                            <w:rPr>
                              <w:b/>
                              <w:bCs/>
                              <w:sz w:val="20"/>
                              <w:szCs w:val="20"/>
                            </w:rPr>
                            <w:t>Invoice No:</w:t>
                          </w:r>
                        </w:p>
                      </w:tc>
                      <w:tc>
                        <w:tcPr>
                          <w:tcW w:w="2880" w:type="dxa"/>
                          <w:tcBorders>
                            <w:top w:val="nil"/>
                            <w:left w:val="nil"/>
                            <w:bottom w:val="nil"/>
                            <w:right w:val="nil"/>
                          </w:tcBorders>
                        </w:tcPr>
                        <w:p w:rsidR="002E4DAB" w:rsidRDefault="00085092">
                          <w:pPr>
                            <w:pStyle w:val="Normal0"/>
                            <w:rPr>
                              <w:sz w:val="20"/>
                              <w:szCs w:val="20"/>
                            </w:rPr>
                          </w:pPr>
                        </w:p>
                      </w:tc>
                    </w:tr>
                    <w:tr w:rsidR="002E4DAB">
                      <w:tc>
                        <w:tcPr>
                          <w:tcW w:w="1728" w:type="dxa"/>
                          <w:tcBorders>
                            <w:top w:val="nil"/>
                            <w:left w:val="nil"/>
                            <w:bottom w:val="nil"/>
                            <w:right w:val="nil"/>
                          </w:tcBorders>
                        </w:tcPr>
                        <w:p w:rsidR="002E4DAB" w:rsidRDefault="00085092">
                          <w:pPr>
                            <w:pStyle w:val="Normal0"/>
                            <w:rPr>
                              <w:b/>
                              <w:bCs/>
                              <w:sz w:val="20"/>
                              <w:szCs w:val="20"/>
                            </w:rPr>
                          </w:pPr>
                        </w:p>
                      </w:tc>
                      <w:tc>
                        <w:tcPr>
                          <w:tcW w:w="5040" w:type="dxa"/>
                          <w:tcBorders>
                            <w:top w:val="nil"/>
                            <w:left w:val="nil"/>
                            <w:bottom w:val="nil"/>
                            <w:right w:val="nil"/>
                          </w:tcBorders>
                        </w:tcPr>
                        <w:p w:rsidR="002E4DAB" w:rsidRDefault="00085092">
                          <w:pPr>
                            <w:pStyle w:val="Normal0"/>
                            <w:rPr>
                              <w:sz w:val="20"/>
                              <w:szCs w:val="20"/>
                            </w:rPr>
                          </w:pPr>
                        </w:p>
                      </w:tc>
                      <w:tc>
                        <w:tcPr>
                          <w:tcW w:w="1296" w:type="dxa"/>
                          <w:tcBorders>
                            <w:top w:val="nil"/>
                            <w:left w:val="nil"/>
                            <w:bottom w:val="nil"/>
                            <w:right w:val="nil"/>
                          </w:tcBorders>
                        </w:tcPr>
                        <w:p w:rsidR="002E4DAB" w:rsidRDefault="00085092">
                          <w:pPr>
                            <w:pStyle w:val="Normal0"/>
                            <w:rPr>
                              <w:b/>
                              <w:bCs/>
                              <w:sz w:val="20"/>
                              <w:szCs w:val="20"/>
                            </w:rPr>
                          </w:pPr>
                          <w:r>
                            <w:rPr>
                              <w:b/>
                              <w:bCs/>
                              <w:sz w:val="20"/>
                              <w:szCs w:val="20"/>
                            </w:rPr>
                            <w:t>Our Ref:</w:t>
                          </w:r>
                        </w:p>
                      </w:tc>
                      <w:tc>
                        <w:tcPr>
                          <w:tcW w:w="2880" w:type="dxa"/>
                          <w:tcBorders>
                            <w:top w:val="nil"/>
                            <w:left w:val="nil"/>
                            <w:bottom w:val="nil"/>
                            <w:right w:val="nil"/>
                          </w:tcBorders>
                        </w:tcPr>
                        <w:p w:rsidR="002E4DAB" w:rsidRDefault="00085092">
                          <w:pPr>
                            <w:pStyle w:val="Normal0"/>
                            <w:rPr>
                              <w:sz w:val="20"/>
                              <w:szCs w:val="20"/>
                            </w:rPr>
                          </w:pPr>
                        </w:p>
                      </w:tc>
                    </w:tr>
                  </w:tbl>
                  <w:p w:rsidR="002E4DAB" w:rsidRDefault="00085092">
                    <w:pPr>
                      <w:pStyle w:val="Normal0"/>
                      <w:rPr>
                        <w:sz w:val="20"/>
                        <w:szCs w:val="20"/>
                      </w:rPr>
                    </w:pPr>
                  </w:p>
                </w:txbxContent>
              </v:textbox>
              <w10:anchorlock/>
            </v:shape>
          </w:pict>
        </mc:Fallback>
      </mc:AlternateContent>
    </w:r>
  </w:p>
  <w:p w:rsidR="002E4DAB" w:rsidRDefault="00085092">
    <w:pPr>
      <w:pStyle w:val="Normal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lvlText w:val=""/>
      <w:lvlJc w:val="left"/>
      <w:pPr>
        <w:ind w:left="357" w:hanging="357"/>
      </w:pPr>
      <w:rPr>
        <w:rFonts w:ascii="Symbol" w:hAnsi="Symbol" w:cs="Symbol" w:hint="default"/>
        <w:b w:val="0"/>
        <w:bCs w:val="0"/>
        <w:i w:val="0"/>
        <w:iCs w:val="0"/>
        <w:strike w:val="0"/>
        <w:color w:val="auto"/>
        <w:sz w:val="20"/>
        <w:szCs w:val="20"/>
        <w:u w:val="none"/>
      </w:rPr>
    </w:lvl>
    <w:lvl w:ilvl="1">
      <w:start w:val="1"/>
      <w:numFmt w:val="bullet"/>
      <w:lvlText w:val=""/>
      <w:lvlJc w:val="left"/>
      <w:pPr>
        <w:ind w:left="717" w:hanging="357"/>
      </w:pPr>
      <w:rPr>
        <w:rFonts w:ascii="Symbol" w:hAnsi="Symbol" w:cs="Symbol" w:hint="default"/>
        <w:b w:val="0"/>
        <w:bCs w:val="0"/>
        <w:i w:val="0"/>
        <w:iCs w:val="0"/>
        <w:strike w:val="0"/>
        <w:color w:val="auto"/>
        <w:sz w:val="20"/>
        <w:szCs w:val="20"/>
        <w:u w:val="none"/>
      </w:rPr>
    </w:lvl>
    <w:lvl w:ilvl="2">
      <w:start w:val="1"/>
      <w:numFmt w:val="bullet"/>
      <w:lvlText w:val=""/>
      <w:lvlJc w:val="left"/>
      <w:pPr>
        <w:ind w:left="1077" w:hanging="357"/>
      </w:pPr>
      <w:rPr>
        <w:rFonts w:ascii="Symbol" w:hAnsi="Symbol" w:cs="Symbol" w:hint="default"/>
        <w:b w:val="0"/>
        <w:bCs w:val="0"/>
        <w:i w:val="0"/>
        <w:iCs w:val="0"/>
        <w:strike w:val="0"/>
        <w:color w:val="auto"/>
        <w:sz w:val="20"/>
        <w:szCs w:val="20"/>
        <w:u w:val="none"/>
      </w:rPr>
    </w:lvl>
    <w:lvl w:ilvl="3">
      <w:start w:val="1"/>
      <w:numFmt w:val="bullet"/>
      <w:lvlText w:val=""/>
      <w:lvlJc w:val="left"/>
      <w:pPr>
        <w:ind w:left="1437" w:hanging="357"/>
      </w:pPr>
      <w:rPr>
        <w:rFonts w:ascii="Symbol" w:hAnsi="Symbol" w:cs="Symbol" w:hint="default"/>
        <w:b w:val="0"/>
        <w:bCs w:val="0"/>
        <w:i w:val="0"/>
        <w:iCs w:val="0"/>
        <w:strike w:val="0"/>
        <w:color w:val="auto"/>
        <w:sz w:val="20"/>
        <w:szCs w:val="20"/>
        <w:u w:val="none"/>
      </w:rPr>
    </w:lvl>
    <w:lvl w:ilvl="4">
      <w:start w:val="1"/>
      <w:numFmt w:val="bullet"/>
      <w:lvlText w:val=""/>
      <w:lvlJc w:val="left"/>
      <w:pPr>
        <w:ind w:left="1797" w:hanging="357"/>
      </w:pPr>
      <w:rPr>
        <w:rFonts w:ascii="Symbol" w:hAnsi="Symbol" w:cs="Symbol" w:hint="default"/>
        <w:b w:val="0"/>
        <w:bCs w:val="0"/>
        <w:i w:val="0"/>
        <w:iCs w:val="0"/>
        <w:strike w:val="0"/>
        <w:color w:val="auto"/>
        <w:sz w:val="20"/>
        <w:szCs w:val="20"/>
        <w:u w:val="none"/>
      </w:rPr>
    </w:lvl>
    <w:lvl w:ilvl="5">
      <w:start w:val="1"/>
      <w:numFmt w:val="bullet"/>
      <w:lvlText w:val=""/>
      <w:lvlJc w:val="left"/>
      <w:pPr>
        <w:ind w:left="2157" w:hanging="357"/>
      </w:pPr>
      <w:rPr>
        <w:rFonts w:ascii="Symbol" w:hAnsi="Symbol" w:cs="Symbol" w:hint="default"/>
        <w:b w:val="0"/>
        <w:bCs w:val="0"/>
        <w:i w:val="0"/>
        <w:iCs w:val="0"/>
        <w:strike w:val="0"/>
        <w:color w:val="auto"/>
        <w:sz w:val="20"/>
        <w:szCs w:val="20"/>
        <w:u w:val="none"/>
      </w:rPr>
    </w:lvl>
    <w:lvl w:ilvl="6">
      <w:start w:val="1"/>
      <w:numFmt w:val="bullet"/>
      <w:lvlText w:val=""/>
      <w:lvlJc w:val="left"/>
      <w:pPr>
        <w:ind w:left="2517" w:hanging="357"/>
      </w:pPr>
      <w:rPr>
        <w:rFonts w:ascii="Symbol" w:hAnsi="Symbol" w:cs="Symbol" w:hint="default"/>
        <w:b w:val="0"/>
        <w:bCs w:val="0"/>
        <w:i w:val="0"/>
        <w:iCs w:val="0"/>
        <w:strike w:val="0"/>
        <w:color w:val="auto"/>
        <w:sz w:val="20"/>
        <w:szCs w:val="20"/>
        <w:u w:val="none"/>
      </w:rPr>
    </w:lvl>
    <w:lvl w:ilvl="7">
      <w:start w:val="1"/>
      <w:numFmt w:val="bullet"/>
      <w:lvlText w:val=""/>
      <w:lvlJc w:val="left"/>
      <w:pPr>
        <w:ind w:left="2877" w:hanging="357"/>
      </w:pPr>
      <w:rPr>
        <w:rFonts w:ascii="Symbol" w:hAnsi="Symbol" w:cs="Symbol" w:hint="default"/>
        <w:b w:val="0"/>
        <w:bCs w:val="0"/>
        <w:i w:val="0"/>
        <w:iCs w:val="0"/>
        <w:strike w:val="0"/>
        <w:color w:val="auto"/>
        <w:sz w:val="20"/>
        <w:szCs w:val="20"/>
        <w:u w:val="none"/>
      </w:rPr>
    </w:lvl>
    <w:lvl w:ilvl="8">
      <w:start w:val="1"/>
      <w:numFmt w:val="bullet"/>
      <w:lvlText w:val=""/>
      <w:lvlJc w:val="left"/>
      <w:pPr>
        <w:ind w:left="3237" w:hanging="357"/>
      </w:pPr>
      <w:rPr>
        <w:rFonts w:ascii="Symbol" w:hAnsi="Symbol" w:cs="Symbol" w:hint="default"/>
        <w:b w:val="0"/>
        <w:bCs w:val="0"/>
        <w:i w:val="0"/>
        <w:iCs w:val="0"/>
        <w:strike w:val="0"/>
        <w:color w:val="auto"/>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092"/>
    <w:rsid w:val="00085092"/>
    <w:rsid w:val="00BD3E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C07A45-C6ED-4403-9FE0-5C3E607F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085092"/>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info@moran-ib.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Humphries</dc:creator>
  <cp:keywords/>
  <dc:description/>
  <cp:lastModifiedBy>Marcia Humphries</cp:lastModifiedBy>
  <cp:revision>1</cp:revision>
  <dcterms:created xsi:type="dcterms:W3CDTF">2021-07-19T01:51:00Z</dcterms:created>
  <dcterms:modified xsi:type="dcterms:W3CDTF">2021-07-19T01:51:00Z</dcterms:modified>
</cp:coreProperties>
</file>